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189230</wp:posOffset>
                </wp:positionV>
                <wp:extent cx="6285865" cy="308610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308610"/>
                          <a:chOff x="0" y="0"/>
                          <a:chExt cx="6285864" cy="30861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305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left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  <w:t xml:space="preserve">21.08.2025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059-11-01-04-336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940299" y="0"/>
                            <a:ext cx="108585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4.90pt;mso-position-vertical:absolute;width:494.95pt;height:24.30pt;mso-wrap-distance-left:9.00pt;mso-wrap-distance-top:0.00pt;mso-wrap-distance-right:9.00pt;mso-wrap-distance-bottom:0.00pt;rotation:0;" coordorigin="0,0" coordsize="62858,3086">
                <v:shape id="shape 3" o:spid="_x0000_s3" o:spt="202" type="#_x0000_t202" style="position:absolute;left:0;top:0;width:62858;height:3054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left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  <w:t xml:space="preserve">21.08.2025</w:t>
                        </w:r>
                        <w:r>
                          <w:rPr>
                            <w:sz w:val="24"/>
                          </w:rPr>
                          <w:tab/>
                          <w:tab/>
                        </w:r>
                        <w:r>
                          <w:rPr>
                            <w:sz w:val="24"/>
                          </w:rPr>
                          <w:t xml:space="preserve">059-11-01-04-336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0;width:10858;height:3086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</w:t>
        <w:br/>
        <w:t xml:space="preserve">11 статьи 32 Жилищного кодекса Российской Федерации, Положения </w:t>
        <w:br/>
        <w:t xml:space="preserve">об управлении жилищных отношений администрации города Перми, утвержденного решением Пермской городской Думы от 12 сентября 2006 г. </w:t>
        <w:br/>
        <w:t xml:space="preserve">№ 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31</w:t>
      </w:r>
      <w:r>
        <w:rPr>
          <w:sz w:val="28"/>
          <w:szCs w:val="28"/>
        </w:rPr>
        <w:t xml:space="preserve"> мая 2024 г. </w:t>
      </w:r>
      <w:r>
        <w:rPr>
          <w:sz w:val="28"/>
          <w:szCs w:val="28"/>
        </w:rPr>
        <w:t xml:space="preserve">№ 059-11-01-04-114</w:t>
      </w:r>
      <w:r>
        <w:rPr>
          <w:sz w:val="28"/>
          <w:szCs w:val="28"/>
        </w:rPr>
        <w:t xml:space="preserve"> «О признании многоквартирного дома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 и подлежащим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</w:t>
      </w:r>
      <w:r>
        <w:rPr>
          <w:sz w:val="28"/>
          <w:szCs w:val="28"/>
        </w:rPr>
        <w:t xml:space="preserve"> по адресу: г.Пермь, </w:t>
        <w:br/>
        <w:t xml:space="preserve">ул.Кочегаров, д. 51, признанным аварийным и подлежащим сносу,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59:01:1713491:408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1 463+/-13</w:t>
      </w:r>
      <w:r>
        <w:rPr>
          <w:sz w:val="28"/>
          <w:szCs w:val="28"/>
        </w:rPr>
        <w:t xml:space="preserve"> 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 по адресу: </w:t>
        <w:br/>
        <w:t xml:space="preserve">Российская Федерация, Пермский край, Пермский городской округ, город Пермь, Дзержинский р-н, ул.Кочегаров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уп</w:t>
      </w:r>
      <w:r>
        <w:rPr>
          <w:sz w:val="28"/>
          <w:szCs w:val="28"/>
        </w:rPr>
        <w:t xml:space="preserve">равление по общим вопросам администрации города Перми </w:t>
        <w:br/>
        <w:t xml:space="preserve">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 w:type="textWrapping" w:clear="all"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</w:t>
      </w:r>
      <w:r>
        <w:rPr>
          <w:sz w:val="28"/>
          <w:szCs w:val="28"/>
        </w:rPr>
        <w:t xml:space="preserve">в орган, осуществляющий государственный кадастровый учет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</w:t>
        <w:br/>
        <w:t xml:space="preserve">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37</cp:revision>
  <dcterms:created xsi:type="dcterms:W3CDTF">2022-07-27T09:06:00Z</dcterms:created>
  <dcterms:modified xsi:type="dcterms:W3CDTF">2025-08-21T09:08:06Z</dcterms:modified>
  <cp:version>917504</cp:version>
</cp:coreProperties>
</file>