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059-11-01-04-352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059-11-01-04-352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</w:t>
      </w:r>
      <w:r>
        <w:rPr>
          <w:sz w:val="28"/>
          <w:szCs w:val="28"/>
        </w:rPr>
        <w:t xml:space="preserve"> марта 2017 г. </w:t>
      </w:r>
      <w:r>
        <w:rPr>
          <w:sz w:val="28"/>
          <w:szCs w:val="28"/>
        </w:rPr>
        <w:t xml:space="preserve">№ СЭД-059-11-01-04-30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 по адресу: г.Пермь</w:t>
      </w:r>
      <w:r>
        <w:rPr>
          <w:sz w:val="28"/>
          <w:szCs w:val="28"/>
        </w:rPr>
        <w:t xml:space="preserve">, ул.Кочегаров, д. 25, признанным аварийным 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59:01:1713490:804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1 693+/-14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 Федерация, Пермский край, Пермский городской округ, город Пермь, Дзержинский район, ул.Кочегаров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2022-07-27T09:06:00Z</dcterms:created>
  <dcterms:modified xsi:type="dcterms:W3CDTF">2025-08-21T08:58:04Z</dcterms:modified>
  <cp:version>917504</cp:version>
</cp:coreProperties>
</file>