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ind w:firstLine="0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059-11-01-04-333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ind w:firstLine="0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18.08.2025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059-11-01-04-333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25</w:t>
      </w:r>
      <w:r>
        <w:rPr>
          <w:sz w:val="28"/>
          <w:szCs w:val="28"/>
        </w:rPr>
        <w:t xml:space="preserve"> апреля 2022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059-11-01-04-338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 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59:01:3812293:14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773,3 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край</w:t>
      </w:r>
      <w:r>
        <w:rPr>
          <w:sz w:val="28"/>
          <w:szCs w:val="28"/>
          <w:highlight w:val="none"/>
        </w:rPr>
        <w:t xml:space="preserve"> Пермский, г.Пермь,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р-н Орджоникидзевский, ул.Щербакова, 17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 официальном сайте муниципального образования город Пермь в 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 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 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 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 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43</cp:revision>
  <dcterms:created xsi:type="dcterms:W3CDTF">2022-07-27T09:06:00Z</dcterms:created>
  <dcterms:modified xsi:type="dcterms:W3CDTF">2025-08-21T08:56:44Z</dcterms:modified>
  <cp:version>917504</cp:version>
</cp:coreProperties>
</file>