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34549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  <w:br/>
        <w:t xml:space="preserve">нормативных затрат на оказание </w:t>
      </w:r>
      <w:r>
        <w:rPr>
          <w:b/>
          <w:bCs/>
          <w:sz w:val="28"/>
          <w:szCs w:val="28"/>
        </w:rPr>
        <w:br/>
        <w:t xml:space="preserve">муниципальных услуг «Реализация </w:t>
      </w:r>
      <w:r>
        <w:rPr>
          <w:b/>
          <w:bCs/>
          <w:sz w:val="28"/>
          <w:szCs w:val="28"/>
        </w:rPr>
        <w:br/>
        <w:t xml:space="preserve">дополнительных образовательных </w:t>
      </w:r>
      <w:r>
        <w:rPr>
          <w:b/>
          <w:bCs/>
          <w:sz w:val="28"/>
          <w:szCs w:val="28"/>
        </w:rPr>
        <w:br/>
        <w:t xml:space="preserve">программ спортивной подготовки </w:t>
      </w:r>
      <w:r>
        <w:rPr>
          <w:b/>
          <w:bCs/>
          <w:sz w:val="28"/>
          <w:szCs w:val="28"/>
        </w:rPr>
        <w:br/>
        <w:t xml:space="preserve">по олимпийским видам спорта», </w:t>
      </w:r>
      <w:r>
        <w:rPr>
          <w:b/>
          <w:bCs/>
          <w:sz w:val="28"/>
          <w:szCs w:val="28"/>
        </w:rPr>
        <w:br/>
        <w:t xml:space="preserve">«Реализация дополнительных </w:t>
      </w:r>
      <w:r>
        <w:rPr>
          <w:b/>
          <w:bCs/>
          <w:sz w:val="28"/>
          <w:szCs w:val="28"/>
        </w:rPr>
        <w:br/>
        <w:t xml:space="preserve">образовательных программ спортивной </w:t>
      </w:r>
      <w:r>
        <w:rPr>
          <w:b/>
          <w:bCs/>
          <w:sz w:val="28"/>
          <w:szCs w:val="28"/>
        </w:rPr>
        <w:br/>
        <w:t xml:space="preserve">подготовки по неолимпийским видам </w:t>
      </w:r>
      <w:r>
        <w:rPr>
          <w:b/>
          <w:bCs/>
          <w:sz w:val="28"/>
          <w:szCs w:val="28"/>
        </w:rPr>
        <w:br/>
        <w:t xml:space="preserve">спорта» с учетом отраслевых корректирующих </w:t>
      </w:r>
      <w:r>
        <w:rPr>
          <w:b/>
          <w:bCs/>
          <w:sz w:val="28"/>
          <w:szCs w:val="28"/>
        </w:rPr>
        <w:br/>
        <w:t xml:space="preserve">коэффициентов на 2025 год, </w:t>
      </w:r>
      <w:hyperlink r:id="rId12" w:tooltip="https://login.consultant.ru/link/?req=doc&amp;base=RLAW368&amp;n=186377&amp;dst=101726&amp;field=134&amp;date=22.04.2024" w:history="1">
        <w:r>
          <w:rPr>
            <w:b/>
            <w:bCs/>
            <w:sz w:val="28"/>
            <w:szCs w:val="28"/>
          </w:rPr>
          <w:t xml:space="preserve">значения</w:t>
        </w:r>
      </w:hyperlink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отраслевых корректирующих коэффициентов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утвержденные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935 «Об утверждении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размера нормативных затрат на оказание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спорта» на 2025 год и плановый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период 2026 и 2027 годов, значений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отраслевых корректирующих коэффициентов,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размера нормативных затрат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на содержание 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уплату налогов на 2025 год и плановый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период 2026 и 2027 годов и значений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натуральных норм, используемых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нормативов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4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размер нормативных затрат на оказание муниципальных услуг «Реализация дополнительных образовательн</w:t>
      </w:r>
      <w:r>
        <w:rPr>
          <w:sz w:val="28"/>
          <w:szCs w:val="28"/>
        </w:rPr>
        <w:t xml:space="preserve">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с учетом отраслевых корректирующих коэффициентов на 2025 год, утвержденный постановлени</w:t>
      </w:r>
      <w:r>
        <w:rPr>
          <w:sz w:val="28"/>
          <w:szCs w:val="28"/>
        </w:rPr>
        <w:t xml:space="preserve">ем администрации города Перми от 17 октября 2024 г. № 935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</w:t>
      </w:r>
      <w:r>
        <w:rPr>
          <w:sz w:val="28"/>
          <w:szCs w:val="28"/>
        </w:rPr>
        <w:t xml:space="preserve">тельных образовательных программ спортивной подготовки по неолимпийским видам спорта» на 2025 год и плановый период 2026 и 2027 годов, значений отраслевых корректирующих коэффициентов, размера нормативных затрат на содержание муниципального имущества, упла</w:t>
      </w:r>
      <w:r>
        <w:rPr>
          <w:sz w:val="28"/>
          <w:szCs w:val="28"/>
        </w:rPr>
        <w:t xml:space="preserve">ту налогов на 2025 год и плановый период 2026 и 2027 годов 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</w:t>
      </w:r>
      <w:r>
        <w:rPr>
          <w:sz w:val="28"/>
          <w:szCs w:val="28"/>
        </w:rPr>
        <w:t xml:space="preserve">пийским видам спорта», «Реализация дополнительных образовательных программ спортивной подготовки по неолимпийским видам спорта» (в ред. от 16.01.2025 № 15, от 14.03.2025 № 155), изложив таблицу 2 в редакции согласно приложению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</w:t>
      </w:r>
      <w:hyperlink r:id="rId15" w:tooltip="https://login.consultant.ru/link/?req=doc&amp;base=RLAW368&amp;n=186377&amp;dst=101726&amp;field=134&amp;date=22.04.2024" w:history="1">
        <w:r>
          <w:rPr>
            <w:sz w:val="28"/>
            <w:szCs w:val="28"/>
          </w:rPr>
          <w:t xml:space="preserve">значения</w:t>
        </w:r>
      </w:hyperlink>
      <w:r>
        <w:rPr>
          <w:sz w:val="28"/>
          <w:szCs w:val="28"/>
        </w:rPr>
        <w:t xml:space="preserve"> отраслевых корректирующих коэффициентов, утвержденные постановлением администрации города Перми от 17 октября 20</w:t>
      </w:r>
      <w:r>
        <w:rPr>
          <w:sz w:val="28"/>
          <w:szCs w:val="28"/>
        </w:rPr>
        <w:t xml:space="preserve">24 г. № 935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</w:t>
      </w:r>
      <w:r>
        <w:rPr>
          <w:sz w:val="28"/>
          <w:szCs w:val="28"/>
        </w:rPr>
        <w:t xml:space="preserve">дготовки по неолимпийским видам спорта» на 2025 год и плановый период 2026 и 2027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2026 </w:t>
      </w:r>
      <w:r>
        <w:rPr>
          <w:sz w:val="28"/>
          <w:szCs w:val="28"/>
        </w:rPr>
        <w:br/>
        <w:t xml:space="preserve">и 2027 годов и значений натуральных норм, используемых при определении базовых нормативов затрат на оказание м</w:t>
      </w:r>
      <w:r>
        <w:rPr>
          <w:sz w:val="28"/>
          <w:szCs w:val="28"/>
        </w:rPr>
        <w:t xml:space="preserve">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(в ред. от 16.01.2025 № 15, </w:t>
      </w:r>
      <w:r>
        <w:rPr>
          <w:sz w:val="28"/>
          <w:szCs w:val="28"/>
        </w:rPr>
        <w:br/>
        <w:t xml:space="preserve">от 14.03.2025 № 155), изложив в редакции согласно приложению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</w:t>
      </w:r>
      <w:r>
        <w:rPr>
          <w:sz w:val="28"/>
          <w:szCs w:val="28"/>
        </w:rPr>
        <w:t xml:space="preserve">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свои действия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№ 571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6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266"/>
        <w:gridCol w:w="1559"/>
        <w:gridCol w:w="1701"/>
        <w:gridCol w:w="1559"/>
        <w:gridCol w:w="1701"/>
        <w:gridCol w:w="2044"/>
      </w:tblGrid>
      <w:tr>
        <w:tblPrEx/>
        <w:trPr>
          <w:trHeight w:val="53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1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 </w:t>
            </w:r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Вид спорта </w:t>
            </w:r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Уникальный номер </w:t>
            </w:r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Этап </w:t>
            </w:r>
            <w:r/>
          </w:p>
        </w:tc>
        <w:tc>
          <w:tcPr>
            <w:gridSpan w:val="6"/>
            <w:tcMar>
              <w:left w:w="57" w:type="dxa"/>
              <w:top w:w="0" w:type="dxa"/>
              <w:right w:w="57" w:type="dxa"/>
              <w:bottom w:w="0" w:type="dxa"/>
            </w:tcMar>
            <w:tcW w:w="9830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/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ind w:left="142" w:right="142"/>
              <w:jc w:val="center"/>
            </w:pPr>
            <w:r>
              <w:t xml:space="preserve">наличие </w:t>
            </w:r>
            <w:r>
              <w:br w:type="textWrapping" w:clear="all"/>
              <w:t xml:space="preserve">в составе имущественного комплекса ледовой арены без учета вида спорта и наличие сложного дорогостоящего оборудования, спортивного инвентаря, экипировки с учетом вида спорта</w:t>
            </w:r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составе имущественного комплекса здания более 10 000 кв. м без учета вида спорта, наличие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составе имущественного комплекса ледовой арены без учета вида спорта и наличие простого оборудования, спортивного инвентаря, экипировки с учетом вида спорта / наличие в составе имущественного комплекса здания более 10 000 кв. м </w:t>
            </w:r>
            <w:r>
              <w:rPr>
                <w:sz w:val="20"/>
                <w:szCs w:val="20"/>
              </w:rPr>
              <w:t xml:space="preserve">без учета вида спорта, наличие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составе имущественного комплекса ледовой арены без </w:t>
            </w:r>
            <w:r>
              <w:rPr>
                <w:sz w:val="20"/>
                <w:szCs w:val="20"/>
              </w:rPr>
              <w:t xml:space="preserve">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1" w:right="142"/>
              <w:jc w:val="center"/>
            </w:pP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</w:t>
            </w:r>
            <w:r>
              <w:rPr>
                <w:sz w:val="20"/>
                <w:szCs w:val="20"/>
              </w:rPr>
              <w:br/>
              <w:t xml:space="preserve">50 000 кв. м,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учета вида сп</w:t>
            </w:r>
            <w:r>
              <w:rPr>
                <w:sz w:val="20"/>
                <w:szCs w:val="20"/>
              </w:rPr>
              <w:t xml:space="preserve">орта 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50000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142"/>
              <w:jc w:val="center"/>
            </w:pP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142" w:right="142"/>
              <w:jc w:val="center"/>
            </w:pPr>
            <w:r>
              <w:t xml:space="preserve">наличие </w:t>
            </w:r>
            <w:r>
              <w:br w:type="textWrapping" w:clear="all"/>
              <w:t xml:space="preserve">в составе имущественного комплекса ледово</w:t>
            </w:r>
            <w:r>
              <w:t xml:space="preserve">й а</w:t>
            </w:r>
            <w:r>
              <w:t xml:space="preserve">рены без учета вида спорта / наличие в составе имущественного комплекса специфических спортивных сооружений, включающих в свою структуру стадион, на территории которого находятся здания общей площадью более </w:t>
              <w:br/>
              <w:t xml:space="preserve">1 000 кв. м, </w:t>
              <w:br/>
              <w:t xml:space="preserve">и земельный участок более </w:t>
              <w:br/>
              <w:t xml:space="preserve">50 000 </w:t>
            </w:r>
            <w:r>
              <w:t xml:space="preserve">кв. м, без учета вида спорта и наличие простого оборудования, спортивного </w:t>
            </w:r>
            <w:r>
              <w:t xml:space="preserve">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стадион, на территории которого находятся здания общей площадью более 1 000 кв. м, и земельный участок </w:t>
            </w:r>
            <w:r/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50 000 </w:t>
              <w:br/>
              <w:t xml:space="preserve">кв. м, без учета вида спорта и наличие сложного дорогостоящего оборудования, спортивного инвентаря, экипировки с </w:t>
            </w:r>
            <w:r>
              <w:rPr>
                <w:sz w:val="20"/>
                <w:szCs w:val="20"/>
              </w:rPr>
              <w:t xml:space="preserve">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0"/>
                <w:szCs w:val="20"/>
              </w:rPr>
              <w:br/>
              <w:t xml:space="preserve">50 000 кв. м, 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учета вида спорта 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  <w:br/>
              <w:t xml:space="preserve">5</w:t>
            </w:r>
            <w:r>
              <w:rPr>
                <w:sz w:val="20"/>
                <w:szCs w:val="20"/>
              </w:rPr>
              <w:t xml:space="preserve">0 000 кв. м,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учета вида </w:t>
            </w:r>
            <w:r>
              <w:rPr>
                <w:sz w:val="20"/>
                <w:szCs w:val="20"/>
              </w:rPr>
              <w:t xml:space="preserve">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1" w:right="142"/>
              <w:jc w:val="center"/>
            </w:pP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2044" w:type="dxa"/>
            <w:textDirection w:val="lrTb"/>
            <w:noWrap w:val="false"/>
          </w:tcPr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в свою структуру стадион, на территории которого находятся здания общей площадью более 1 000 кв. м, и земельный участок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50 000 кв. м, без учета вида спорта и наличие простого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учетом вида спорта / наличие в составе имущественного комплекса специфических спортивных сооружений, включающих в свою структуру стадион, на территории которого находятся здания общей площадью более 1 000 кв. м, и земельный </w:t>
            </w:r>
            <w:r>
              <w:rPr>
                <w:sz w:val="20"/>
                <w:szCs w:val="20"/>
              </w:rPr>
              <w:t xml:space="preserve">участок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50 000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266"/>
        <w:gridCol w:w="1559"/>
        <w:gridCol w:w="1701"/>
        <w:gridCol w:w="1559"/>
        <w:gridCol w:w="1701"/>
        <w:gridCol w:w="1992"/>
      </w:tblGrid>
      <w:tr>
        <w:tblPrEx/>
        <w:trPr>
          <w:tblHeader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олимпийским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23432,95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17657,60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97677,97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73603,98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20483,88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70375,66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23172,74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17450,31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</w:t>
            </w:r>
            <w:r>
              <w:rPr>
                <w:sz w:val="22"/>
                <w:szCs w:val="22"/>
              </w:rPr>
              <w:t xml:space="preserve">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82665,31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24781,94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29004,76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21783,41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74539,46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65520,43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159844,41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213634,15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23710,84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18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77094,51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34271,48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129706,30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277706,44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379070,18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16861,41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23136,09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17433,91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72131,47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74580,53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9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249701,65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64041,20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101139,47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  <w:t xml:space="preserve">с трамплина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39866,66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08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100150,26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239049,99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23710,84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18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77094,51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  <w:t xml:space="preserve">на коньках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20289,97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20655,09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69155,22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154318,27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</w:t>
            </w:r>
            <w:r>
              <w:rPr>
                <w:sz w:val="22"/>
                <w:szCs w:val="22"/>
              </w:rPr>
              <w:t xml:space="preserve">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228922,26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23710,84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69611,10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80032,58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60307,52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60106,77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23329,75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23392,64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92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141684,73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23139,41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82206,64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156615,81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24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  <w:t xml:space="preserve">по неолимпийским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22329,69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0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74797,86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18995,23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09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61823,63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28284,00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67976,24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70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143237,51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17195,48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</w:t>
            </w:r>
            <w:r>
              <w:rPr>
                <w:sz w:val="22"/>
                <w:szCs w:val="22"/>
              </w:rPr>
              <w:t xml:space="preserve">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56834,83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16770,24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56175,34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ориентирование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23752,62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62129,82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144262,17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190089,72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11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70453,53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82237,05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61928,88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</w:t>
            </w:r>
            <w:r>
              <w:rPr>
                <w:sz w:val="22"/>
                <w:szCs w:val="22"/>
              </w:rPr>
              <w:t xml:space="preserve">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235893,23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298571,04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19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22895,90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75675,97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19.08.2025 № 571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коэффициентов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10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418"/>
        <w:gridCol w:w="1842"/>
        <w:gridCol w:w="1418"/>
        <w:gridCol w:w="1276"/>
        <w:gridCol w:w="1275"/>
        <w:gridCol w:w="1276"/>
        <w:gridCol w:w="1276"/>
        <w:gridCol w:w="1276"/>
      </w:tblGrid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3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3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дорогостоящего оборудования, спортивного инвентаря, экипировки </w:t>
            </w:r>
            <w:r>
              <w:rPr>
                <w:sz w:val="22"/>
                <w:szCs w:val="22"/>
              </w:rPr>
              <w:br w:type="textWrapping" w:clear="all"/>
              <w:t xml:space="preserve">с учетом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имущественного комплекса ледовой арены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 w:type="textWrapping" w:clear="all"/>
              <w:t xml:space="preserve">10 000 кв. м 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кв. м,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  <w:t xml:space="preserve">50 000 кв. м,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  <w:t xml:space="preserve">в составе имущественного комплекса специфических спортивных сооружений, включающих в свою структуру стадион, </w:t>
            </w:r>
            <w:r>
              <w:rPr>
                <w:sz w:val="22"/>
                <w:szCs w:val="22"/>
              </w:rPr>
              <w:br w:type="textWrapping" w:clear="all"/>
              <w:t xml:space="preserve">на территории которого находятся здания общей площадью более </w:t>
            </w:r>
            <w:r>
              <w:rPr>
                <w:sz w:val="22"/>
                <w:szCs w:val="22"/>
              </w:rPr>
              <w:br w:type="textWrapping" w:clear="all"/>
              <w:t xml:space="preserve">1 000 кв. м, </w:t>
            </w:r>
            <w:r>
              <w:rPr>
                <w:sz w:val="22"/>
                <w:szCs w:val="22"/>
              </w:rPr>
              <w:br w:type="textWrapping" w:clear="all"/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более 50 000 кв. м,</w:t>
            </w:r>
            <w:r>
              <w:rPr>
                <w:sz w:val="22"/>
                <w:szCs w:val="22"/>
              </w:rPr>
              <w:t xml:space="preserve">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20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5315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18"/>
        <w:gridCol w:w="1417"/>
        <w:gridCol w:w="1848"/>
        <w:gridCol w:w="1417"/>
        <w:gridCol w:w="1271"/>
        <w:gridCol w:w="1281"/>
        <w:gridCol w:w="1276"/>
        <w:gridCol w:w="1275"/>
        <w:gridCol w:w="1276"/>
      </w:tblGrid>
      <w:tr>
        <w:tblPrEx/>
        <w:trPr>
          <w:tblHeader/>
        </w:trPr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образователь</w:t>
            </w:r>
            <w:r>
              <w:rPr>
                <w:sz w:val="22"/>
                <w:szCs w:val="22"/>
              </w:rPr>
              <w:t xml:space="preserve">ных программ спортивной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олимпийским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0,98828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1,26699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1,12835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1,18539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1,25255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</w:t>
            </w:r>
            <w:r>
              <w:rPr>
                <w:sz w:val="22"/>
                <w:szCs w:val="22"/>
              </w:rPr>
              <w:t xml:space="preserve">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</w:t>
            </w:r>
            <w:r>
              <w:rPr>
                <w:sz w:val="22"/>
                <w:szCs w:val="22"/>
              </w:rPr>
              <w:t xml:space="preserve">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0,97994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</w:t>
            </w:r>
            <w:r>
              <w:rPr>
                <w:sz w:val="22"/>
                <w:szCs w:val="22"/>
              </w:rPr>
              <w:t xml:space="preserve">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1,07515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0,98734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1,00122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1,00330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  <w:t xml:space="preserve">на байдарках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1,09597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1,11381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1,05953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</w:t>
            </w:r>
            <w:r>
              <w:rPr>
                <w:sz w:val="22"/>
                <w:szCs w:val="22"/>
              </w:rPr>
              <w:t xml:space="preserve">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1,04590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1,22327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1,13161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1,05895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1,04315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7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1,98327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2,30852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2,15688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2,16999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0,97576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1,28380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</w:t>
            </w:r>
            <w:r>
              <w:rPr>
                <w:sz w:val="22"/>
                <w:szCs w:val="22"/>
              </w:rPr>
              <w:t xml:space="preserve">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</w:t>
            </w:r>
            <w:r>
              <w:rPr>
                <w:sz w:val="22"/>
                <w:szCs w:val="22"/>
              </w:rPr>
              <w:t xml:space="preserve">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1,38248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0,90405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0,95849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0,98141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3,59630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1,74679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1,28125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тренировочный этап (этап спортивной специализации)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  <w:t xml:space="preserve">с трамплина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2,30706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1,78248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1,45386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</w:t>
            </w:r>
            <w:r>
              <w:rPr>
                <w:sz w:val="22"/>
                <w:szCs w:val="22"/>
              </w:rPr>
              <w:t xml:space="preserve">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2,33205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</w:t>
            </w:r>
            <w:r>
              <w:rPr>
                <w:sz w:val="22"/>
                <w:szCs w:val="22"/>
              </w:rPr>
              <w:t xml:space="preserve">катание </w:t>
            </w:r>
            <w:r>
              <w:rPr>
                <w:sz w:val="22"/>
                <w:szCs w:val="22"/>
              </w:rPr>
              <w:br w:type="textWrapping" w:clear="all"/>
              <w:t xml:space="preserve">на коньках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</w:t>
            </w:r>
            <w:r>
              <w:rPr>
                <w:sz w:val="22"/>
                <w:szCs w:val="22"/>
              </w:rPr>
              <w:t xml:space="preserve">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</w:t>
            </w:r>
            <w:r>
              <w:rPr>
                <w:sz w:val="22"/>
                <w:szCs w:val="22"/>
              </w:rPr>
              <w:t xml:space="preserve">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1,00154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bookmarkStart w:id="0" w:name="_GoBack"/>
            <w:r/>
            <w:bookmarkEnd w:id="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1,04987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1,02234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1,11780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1,03811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0,98658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1,84276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1,44040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0,97590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0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1,06631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1,01922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</w:t>
            </w:r>
            <w:r>
              <w:rPr>
                <w:sz w:val="22"/>
                <w:szCs w:val="22"/>
              </w:rPr>
              <w:t xml:space="preserve">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1,01207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</w:t>
            </w:r>
            <w:r>
              <w:rPr>
                <w:sz w:val="22"/>
                <w:szCs w:val="22"/>
              </w:rPr>
              <w:br w:type="textWrapping" w:clear="all"/>
              <w:t xml:space="preserve">по неолимпийским видам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акробатический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854100О.99.0.БО53АА91001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1,58303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</w:t>
            </w:r>
            <w:r>
              <w:rPr>
                <w:sz w:val="22"/>
                <w:szCs w:val="22"/>
              </w:rPr>
              <w:t xml:space="preserve">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1,16960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2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кикбоксинг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рукопашный бой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</w:t>
            </w:r>
            <w:r>
              <w:rPr>
                <w:sz w:val="22"/>
                <w:szCs w:val="22"/>
              </w:rPr>
              <w:t xml:space="preserve">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</w:t>
            </w:r>
            <w:r>
              <w:rPr>
                <w:sz w:val="22"/>
                <w:szCs w:val="22"/>
              </w:rPr>
              <w:t xml:space="preserve">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0,98666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0,99108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1,37455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1,10579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1,12045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1,08817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1,06958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1,33884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чир</w:t>
            </w:r>
            <w:r>
              <w:rPr>
                <w:sz w:val="22"/>
                <w:szCs w:val="22"/>
              </w:rPr>
              <w:t xml:space="preserve"> спорт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</w:t>
            </w:r>
            <w:r>
              <w:rPr>
                <w:sz w:val="22"/>
                <w:szCs w:val="22"/>
              </w:rPr>
              <w:t xml:space="preserve">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07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  <w:rPr>
      <w:lang w:eastAsia="ru-RU"/>
    </w:rPr>
  </w:style>
  <w:style w:type="paragraph" w:styleId="723">
    <w:name w:val="Heading 1"/>
    <w:basedOn w:val="722"/>
    <w:next w:val="722"/>
    <w:link w:val="788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89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table" w:styleId="735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4" w:customStyle="1">
    <w:name w:val="Caption Char"/>
    <w:basedOn w:val="732"/>
    <w:uiPriority w:val="35"/>
    <w:rPr>
      <w:b/>
      <w:bCs/>
      <w:color w:val="4f81bd" w:themeColor="accent1"/>
      <w:sz w:val="18"/>
      <w:szCs w:val="18"/>
    </w:rPr>
  </w:style>
  <w:style w:type="table" w:styleId="755" w:customStyle="1">
    <w:name w:val="Таблица простая 1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-сетка 2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3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41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Таблица-сетка 5 темная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Таблица-сетк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Таблица-сетка 7 цветная1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Список-таблица 1 светлая1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Список-таблица 21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Список-таблица 3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Список-таблица 4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5 темная1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Список-таблиц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Список-таблица 7 цветная1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4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Subtitle Char"/>
    <w:basedOn w:val="732"/>
    <w:uiPriority w:val="11"/>
    <w:rPr>
      <w:sz w:val="24"/>
      <w:szCs w:val="24"/>
    </w:rPr>
  </w:style>
  <w:style w:type="character" w:styleId="784" w:customStyle="1">
    <w:name w:val="Quote Char"/>
    <w:uiPriority w:val="29"/>
    <w:rPr>
      <w:i/>
    </w:rPr>
  </w:style>
  <w:style w:type="character" w:styleId="785" w:customStyle="1">
    <w:name w:val="Intense Quote Char"/>
    <w:uiPriority w:val="30"/>
    <w:rPr>
      <w:i/>
    </w:rPr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"/>
    <w:link w:val="723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9">
    <w:name w:val="Title"/>
    <w:basedOn w:val="722"/>
    <w:next w:val="722"/>
    <w:link w:val="104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00" w:customStyle="1">
    <w:name w:val="Title Char"/>
    <w:uiPriority w:val="10"/>
    <w:rPr>
      <w:sz w:val="48"/>
      <w:szCs w:val="48"/>
    </w:rPr>
  </w:style>
  <w:style w:type="paragraph" w:styleId="801">
    <w:name w:val="Subtitle"/>
    <w:basedOn w:val="722"/>
    <w:next w:val="722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link w:val="801"/>
    <w:uiPriority w:val="11"/>
    <w:rPr>
      <w:sz w:val="24"/>
      <w:szCs w:val="24"/>
    </w:rPr>
  </w:style>
  <w:style w:type="paragraph" w:styleId="803">
    <w:name w:val="Quote"/>
    <w:basedOn w:val="722"/>
    <w:next w:val="722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22"/>
    <w:next w:val="722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paragraph" w:styleId="807">
    <w:name w:val="Header"/>
    <w:basedOn w:val="722"/>
    <w:link w:val="962"/>
    <w:uiPriority w:val="99"/>
    <w:pPr>
      <w:tabs>
        <w:tab w:val="center" w:pos="4153" w:leader="none"/>
        <w:tab w:val="right" w:pos="8306" w:leader="none"/>
      </w:tabs>
    </w:pPr>
  </w:style>
  <w:style w:type="character" w:styleId="808" w:customStyle="1">
    <w:name w:val="Header Char"/>
    <w:uiPriority w:val="99"/>
  </w:style>
  <w:style w:type="paragraph" w:styleId="809">
    <w:name w:val="Footer"/>
    <w:basedOn w:val="722"/>
    <w:link w:val="1038"/>
    <w:uiPriority w:val="99"/>
    <w:pPr>
      <w:tabs>
        <w:tab w:val="center" w:pos="4153" w:leader="none"/>
        <w:tab w:val="right" w:pos="8306" w:leader="none"/>
      </w:tabs>
    </w:pPr>
  </w:style>
  <w:style w:type="character" w:styleId="810" w:customStyle="1">
    <w:name w:val="Footer Char"/>
    <w:uiPriority w:val="99"/>
  </w:style>
  <w:style w:type="paragraph" w:styleId="811">
    <w:name w:val="Caption"/>
    <w:basedOn w:val="722"/>
    <w:next w:val="722"/>
    <w:link w:val="81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2" w:customStyle="1">
    <w:name w:val="Название объекта Знак"/>
    <w:link w:val="811"/>
    <w:uiPriority w:val="99"/>
  </w:style>
  <w:style w:type="table" w:styleId="813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>
    <w:name w:val="Hyperlink"/>
    <w:uiPriority w:val="99"/>
    <w:unhideWhenUsed/>
    <w:rPr>
      <w:color w:val="0000ff"/>
      <w:u w:val="single"/>
    </w:rPr>
  </w:style>
  <w:style w:type="paragraph" w:styleId="940">
    <w:name w:val="footnote text"/>
    <w:basedOn w:val="722"/>
    <w:link w:val="941"/>
    <w:uiPriority w:val="99"/>
    <w:semiHidden/>
    <w:unhideWhenUsed/>
    <w:pPr>
      <w:spacing w:after="40"/>
    </w:pPr>
    <w:rPr>
      <w:sz w:val="18"/>
    </w:rPr>
  </w:style>
  <w:style w:type="character" w:styleId="941" w:customStyle="1">
    <w:name w:val="Текст сноски Знак"/>
    <w:link w:val="940"/>
    <w:uiPriority w:val="99"/>
    <w:rPr>
      <w:sz w:val="18"/>
    </w:rPr>
  </w:style>
  <w:style w:type="character" w:styleId="942">
    <w:name w:val="footnote reference"/>
    <w:uiPriority w:val="99"/>
    <w:unhideWhenUsed/>
    <w:rPr>
      <w:vertAlign w:val="superscript"/>
    </w:rPr>
  </w:style>
  <w:style w:type="paragraph" w:styleId="943">
    <w:name w:val="endnote text"/>
    <w:basedOn w:val="722"/>
    <w:link w:val="944"/>
    <w:uiPriority w:val="99"/>
    <w:semiHidden/>
    <w:unhideWhenUsed/>
  </w:style>
  <w:style w:type="character" w:styleId="944" w:customStyle="1">
    <w:name w:val="Текст концевой сноски Знак"/>
    <w:link w:val="943"/>
    <w:uiPriority w:val="99"/>
    <w:rPr>
      <w:sz w:val="20"/>
    </w:rPr>
  </w:style>
  <w:style w:type="character" w:styleId="945">
    <w:name w:val="endnote reference"/>
    <w:uiPriority w:val="99"/>
    <w:semiHidden/>
    <w:unhideWhenUsed/>
    <w:rPr>
      <w:vertAlign w:val="superscript"/>
    </w:rPr>
  </w:style>
  <w:style w:type="paragraph" w:styleId="946">
    <w:name w:val="toc 1"/>
    <w:basedOn w:val="722"/>
    <w:next w:val="722"/>
    <w:uiPriority w:val="39"/>
    <w:unhideWhenUsed/>
    <w:pPr>
      <w:spacing w:after="57"/>
    </w:pPr>
  </w:style>
  <w:style w:type="paragraph" w:styleId="947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48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49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50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51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52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53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54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22"/>
    <w:next w:val="722"/>
    <w:uiPriority w:val="99"/>
    <w:unhideWhenUsed/>
  </w:style>
  <w:style w:type="paragraph" w:styleId="957">
    <w:name w:val="Body Text"/>
    <w:basedOn w:val="722"/>
    <w:link w:val="981"/>
    <w:pPr>
      <w:ind w:right="3117"/>
    </w:pPr>
    <w:rPr>
      <w:rFonts w:ascii="Courier New" w:hAnsi="Courier New"/>
      <w:sz w:val="26"/>
      <w:lang w:val="en-US" w:eastAsia="en-US"/>
    </w:rPr>
  </w:style>
  <w:style w:type="paragraph" w:styleId="958">
    <w:name w:val="Body Text Indent"/>
    <w:basedOn w:val="722"/>
    <w:pPr>
      <w:ind w:right="-1"/>
      <w:jc w:val="both"/>
    </w:pPr>
    <w:rPr>
      <w:sz w:val="26"/>
    </w:rPr>
  </w:style>
  <w:style w:type="character" w:styleId="959">
    <w:name w:val="page number"/>
    <w:basedOn w:val="732"/>
  </w:style>
  <w:style w:type="paragraph" w:styleId="960">
    <w:name w:val="Balloon Text"/>
    <w:basedOn w:val="722"/>
    <w:link w:val="961"/>
    <w:rPr>
      <w:rFonts w:ascii="Segoe UI" w:hAnsi="Segoe UI"/>
      <w:sz w:val="18"/>
      <w:szCs w:val="18"/>
      <w:lang w:val="en-US" w:eastAsia="en-US"/>
    </w:rPr>
  </w:style>
  <w:style w:type="character" w:styleId="961" w:customStyle="1">
    <w:name w:val="Текст выноски Знак"/>
    <w:link w:val="960"/>
    <w:rPr>
      <w:rFonts w:ascii="Segoe UI" w:hAnsi="Segoe UI" w:cs="Segoe UI"/>
      <w:sz w:val="18"/>
      <w:szCs w:val="18"/>
    </w:rPr>
  </w:style>
  <w:style w:type="character" w:styleId="962" w:customStyle="1">
    <w:name w:val="Верхний колонтитул Знак"/>
    <w:link w:val="807"/>
    <w:uiPriority w:val="99"/>
  </w:style>
  <w:style w:type="numbering" w:styleId="963" w:customStyle="1">
    <w:name w:val="Нет списка1"/>
    <w:next w:val="734"/>
    <w:uiPriority w:val="99"/>
    <w:semiHidden/>
    <w:unhideWhenUsed/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Форма"/>
    <w:rPr>
      <w:sz w:val="28"/>
      <w:szCs w:val="28"/>
      <w:lang w:eastAsia="ru-RU"/>
    </w:rPr>
  </w:style>
  <w:style w:type="character" w:styleId="981" w:customStyle="1">
    <w:name w:val="Основной текст Знак"/>
    <w:link w:val="957"/>
    <w:rPr>
      <w:rFonts w:ascii="Courier New" w:hAnsi="Courier New"/>
      <w:sz w:val="26"/>
    </w:rPr>
  </w:style>
  <w:style w:type="paragraph" w:styleId="982" w:customStyle="1">
    <w:name w:val="ConsPlusNormal"/>
    <w:rPr>
      <w:sz w:val="28"/>
      <w:szCs w:val="28"/>
      <w:lang w:eastAsia="ru-RU"/>
    </w:rPr>
  </w:style>
  <w:style w:type="numbering" w:styleId="983" w:customStyle="1">
    <w:name w:val="Нет списка11"/>
    <w:next w:val="734"/>
    <w:uiPriority w:val="99"/>
    <w:semiHidden/>
    <w:unhideWhenUsed/>
  </w:style>
  <w:style w:type="numbering" w:styleId="984" w:customStyle="1">
    <w:name w:val="Нет списка111"/>
    <w:next w:val="734"/>
    <w:uiPriority w:val="99"/>
    <w:semiHidden/>
    <w:unhideWhenUsed/>
  </w:style>
  <w:style w:type="paragraph" w:styleId="985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9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5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9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2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2" w:customStyle="1">
    <w:name w:val="Нет списка2"/>
    <w:next w:val="734"/>
    <w:uiPriority w:val="99"/>
    <w:semiHidden/>
    <w:unhideWhenUsed/>
  </w:style>
  <w:style w:type="numbering" w:styleId="1033" w:customStyle="1">
    <w:name w:val="Нет списка3"/>
    <w:next w:val="734"/>
    <w:uiPriority w:val="99"/>
    <w:semiHidden/>
    <w:unhideWhenUsed/>
  </w:style>
  <w:style w:type="paragraph" w:styleId="1034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7" w:customStyle="1">
    <w:name w:val="Нет списка4"/>
    <w:next w:val="734"/>
    <w:uiPriority w:val="99"/>
    <w:semiHidden/>
    <w:unhideWhenUsed/>
  </w:style>
  <w:style w:type="character" w:styleId="1038" w:customStyle="1">
    <w:name w:val="Нижний колонтитул Знак"/>
    <w:link w:val="809"/>
    <w:uiPriority w:val="99"/>
  </w:style>
  <w:style w:type="paragraph" w:styleId="1039" w:customStyle="1">
    <w:name w:val="Приложение"/>
    <w:basedOn w:val="95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1040" w:customStyle="1">
    <w:name w:val="Подпись на  бланке должностного лица"/>
    <w:basedOn w:val="722"/>
    <w:next w:val="957"/>
    <w:pPr>
      <w:ind w:left="7088"/>
      <w:spacing w:before="480" w:line="240" w:lineRule="exact"/>
    </w:pPr>
    <w:rPr>
      <w:sz w:val="24"/>
    </w:rPr>
  </w:style>
  <w:style w:type="paragraph" w:styleId="1041">
    <w:name w:val="Signature"/>
    <w:basedOn w:val="722"/>
    <w:next w:val="957"/>
    <w:link w:val="1042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42" w:customStyle="1">
    <w:name w:val="Подпись Знак"/>
    <w:link w:val="1041"/>
    <w:rPr>
      <w:sz w:val="24"/>
    </w:rPr>
  </w:style>
  <w:style w:type="paragraph" w:styleId="1043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104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1045" w:customStyle="1">
    <w:name w:val="Название Знак"/>
    <w:link w:val="799"/>
    <w:rPr>
      <w:rFonts w:ascii="Cambria" w:hAnsi="Cambria"/>
      <w:b/>
      <w:bCs/>
      <w:sz w:val="32"/>
      <w:szCs w:val="32"/>
    </w:rPr>
  </w:style>
  <w:style w:type="character" w:styleId="1046">
    <w:name w:val="Emphasis"/>
    <w:qFormat/>
    <w:rPr>
      <w:i/>
      <w:iCs/>
    </w:rPr>
  </w:style>
  <w:style w:type="paragraph" w:styleId="1047">
    <w:name w:val="Normal (Web)"/>
    <w:basedOn w:val="72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86377&amp;dst=101726&amp;field=134&amp;date=22.04.2024" TargetMode="External"/><Relationship Id="rId13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yperlink" Target="https://login.consultant.ru/link/?req=doc&amp;base=RLAW368&amp;n=154126&amp;dst=76&amp;field=134&amp;date=01.10.2021" TargetMode="External"/><Relationship Id="rId15" Type="http://schemas.openxmlformats.org/officeDocument/2006/relationships/hyperlink" Target="https://login.consultant.ru/link/?req=doc&amp;base=RLAW368&amp;n=186377&amp;dst=101726&amp;field=134&amp;date=22.04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samokhvalova-ev</cp:lastModifiedBy>
  <cp:revision>13</cp:revision>
  <dcterms:created xsi:type="dcterms:W3CDTF">2025-02-28T10:29:00Z</dcterms:created>
  <dcterms:modified xsi:type="dcterms:W3CDTF">2025-08-19T09:23:18Z</dcterms:modified>
  <cp:version>983040</cp:version>
</cp:coreProperties>
</file>