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t xml:space="preserve">0.</w:t>
      </w:r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Порядок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принятия решений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подготовке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и реализации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бюджетных инвестиций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в объекты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муниципальной собственности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Перми,</w:t>
      </w:r>
      <w:r>
        <w:rPr>
          <w:b/>
          <w:bCs/>
          <w:sz w:val="28"/>
          <w:szCs w:val="28"/>
          <w:highlight w:val="none"/>
        </w:rPr>
        <w:t xml:space="preserve"> принятия решений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предоставлении</w:t>
      </w:r>
      <w:r>
        <w:rPr>
          <w:b/>
          <w:bCs/>
          <w:sz w:val="28"/>
          <w:szCs w:val="28"/>
          <w:highlight w:val="none"/>
        </w:rPr>
        <w:t xml:space="preserve"> бюджетных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ассигнований</w:t>
      </w:r>
      <w:r>
        <w:t xml:space="preserve"> </w:t>
      </w:r>
      <w:r>
        <w:rPr>
          <w:b/>
          <w:bCs/>
          <w:sz w:val="28"/>
          <w:szCs w:val="28"/>
          <w:highlight w:val="none"/>
        </w:rPr>
        <w:t xml:space="preserve">на осуществление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за счет субсидий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капитальных </w:t>
      </w:r>
      <w:r>
        <w:rPr>
          <w:b/>
          <w:bCs/>
          <w:sz w:val="28"/>
          <w:szCs w:val="28"/>
          <w:highlight w:val="none"/>
        </w:rPr>
        <w:t xml:space="preserve">вложений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объекты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муниципальной </w:t>
      </w:r>
      <w:r>
        <w:rPr>
          <w:b/>
          <w:bCs/>
          <w:sz w:val="28"/>
          <w:szCs w:val="28"/>
          <w:highlight w:val="none"/>
        </w:rPr>
        <w:t xml:space="preserve">собственности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утвержденный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постановлением </w:t>
      </w:r>
      <w:r>
        <w:rPr>
          <w:b/>
          <w:bCs/>
          <w:sz w:val="28"/>
          <w:szCs w:val="28"/>
          <w:highlight w:val="non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tabs>
          <w:tab w:val="center" w:pos="4960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от 07.08.2014 № 531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</w:rPr>
        <w:t xml:space="preserve">принятия решений о подготовке и реализации бюджетных инвестиций в объекты муниципальной собственности города Перми, принят</w:t>
      </w:r>
      <w:r>
        <w:rPr>
          <w:sz w:val="28"/>
          <w:szCs w:val="28"/>
        </w:rPr>
        <w:t xml:space="preserve">ия решений о предоставлении бюджетных ассигнований на осуществление </w:t>
      </w:r>
      <w:r>
        <w:rPr>
          <w:sz w:val="28"/>
          <w:szCs w:val="28"/>
        </w:rPr>
        <w:t xml:space="preserve">за счет субсидий капитальных вложений в объекты муниципальной собственности города Перми, утвержденный постановлением администрации города Перми </w:t>
        <w:br/>
        <w:t xml:space="preserve">от 07 августа 2014 г. № 531 (в ред. от 28.01.2015 № 52, от 29.06.2015 № 418, </w:t>
        <w:br/>
      </w:r>
      <w:r>
        <w:rPr>
          <w:sz w:val="28"/>
          <w:szCs w:val="28"/>
        </w:rPr>
        <w:t xml:space="preserve">от 12.07.2016 № 493, от 06.10.2016 № 799, от 12.01.2017 № 24, от 02.11.2017 </w:t>
      </w:r>
      <w:r>
        <w:rPr>
          <w:sz w:val="28"/>
          <w:szCs w:val="28"/>
        </w:rPr>
        <w:t xml:space="preserve">№ 983, от 25.06.2018 № 424, от 24.06.2019 № 301, от 14.01.2020 № 29, </w:t>
      </w:r>
      <w:r>
        <w:rPr>
          <w:sz w:val="28"/>
          <w:szCs w:val="28"/>
        </w:rPr>
        <w:t xml:space="preserve">от 24.02.2021 № 105, от 15.04.2021 № 258</w:t>
      </w:r>
      <w:r>
        <w:rPr>
          <w:sz w:val="28"/>
          <w:szCs w:val="28"/>
        </w:rPr>
        <w:t xml:space="preserve">, от 06.07.2021 № 507, от 22.09.2021 </w:t>
      </w:r>
      <w:r>
        <w:rPr>
          <w:sz w:val="28"/>
          <w:szCs w:val="28"/>
        </w:rPr>
        <w:t xml:space="preserve">№ 738, от 25.07.2022 </w:t>
        <w:br/>
        <w:t xml:space="preserve">№ 625</w:t>
      </w:r>
      <w:r>
        <w:rPr>
          <w:sz w:val="28"/>
          <w:szCs w:val="28"/>
        </w:rPr>
        <w:t xml:space="preserve">, от 21.02.2023 № 134, от 13.07.2023 № 598</w:t>
      </w:r>
      <w:r>
        <w:rPr>
          <w:sz w:val="28"/>
          <w:szCs w:val="28"/>
        </w:rPr>
        <w:t xml:space="preserve">, от 12.08.2025 № 553),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29"/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1.1. в абзаце втором пункта 1.1 слова «</w:t>
      </w:r>
      <w:r>
        <w:rPr>
          <w:highlight w:val="none"/>
        </w:rPr>
        <w:t xml:space="preserve">о возможности создания объекта соглашения о муниципально-частном партнерстве, объекта концессионног</w:t>
      </w:r>
      <w:r>
        <w:rPr>
          <w:highlight w:val="none"/>
        </w:rPr>
        <w:t xml:space="preserve">о </w:t>
      </w:r>
      <w:r>
        <w:rPr>
          <w:highlight w:val="none"/>
        </w:rPr>
        <w:t xml:space="preserve">соглашения</w:t>
      </w:r>
      <w:r>
        <w:rPr>
          <w:sz w:val="28"/>
          <w:szCs w:val="28"/>
        </w:rPr>
        <w:t xml:space="preserve">» заменить словами «в соответствии с концессионным соглашением»;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1.2. пункт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1.2.17 признать утратившим силу;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1.3. пункт 1.2</w:t>
      </w:r>
      <w:r>
        <w:rPr>
          <w:sz w:val="28"/>
          <w:szCs w:val="28"/>
        </w:rPr>
        <w:t xml:space="preserve">.18 признать утратившим силу;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1.4. пункт 1.2.19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1.5. абзацы третий, четвертый, пятый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пункта 2.12 признать утратившими силу;</w:t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contextualSpacing w:val="0"/>
        <w:ind w:left="0" w:firstLine="709"/>
        <w:jc w:val="both"/>
        <w:spacing w:before="0"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пункт 2.13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1.7. пункт 2.14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признать утратившим силу;</w:t>
      </w:r>
      <w:r/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1.8. пункт 2.15 </w:t>
      </w:r>
      <w:r>
        <w:rPr>
          <w:sz w:val="28"/>
          <w:szCs w:val="28"/>
          <w:highlight w:val="none"/>
        </w:rPr>
        <w:t xml:space="preserve">признать утратившим силу;</w:t>
      </w:r>
      <w:r/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1.9. пункт 2.16 </w:t>
      </w:r>
      <w:r>
        <w:rPr>
          <w:sz w:val="28"/>
          <w:szCs w:val="28"/>
          <w:highlight w:val="none"/>
        </w:rPr>
        <w:t xml:space="preserve">признать утратившим силу;</w:t>
      </w:r>
      <w:r/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1.10. пункт 2.17 признать утратившим силу;</w:t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1.11. пункт 2.18 признать утратившим силу;</w:t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1.12. пункт 2.19 признать утратившим силу;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1.13. в абзаце первом пункта 2.21 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 исключением объектов муниципальн</w:t>
      </w:r>
      <w:r>
        <w:rPr>
          <w:sz w:val="28"/>
          <w:szCs w:val="28"/>
        </w:rPr>
        <w:t xml:space="preserve">ой собственности города Перми, по которым инвестиционной комиссией принято решение о внесении изменений в портфель проектов с учетом возможности реализации объекта на принципах муниципально-частного партнерства,»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1.14. пункт 2.22.</w:t>
      </w:r>
      <w:r>
        <w:rPr>
          <w:sz w:val="28"/>
          <w:szCs w:val="28"/>
          <w:highlight w:val="none"/>
          <w:vertAlign w:val="superscript"/>
        </w:rPr>
        <w:t xml:space="preserve">1 </w:t>
      </w:r>
      <w:r>
        <w:rPr>
          <w:sz w:val="28"/>
          <w:szCs w:val="28"/>
          <w:highlight w:val="none"/>
          <w:vertAlign w:val="baseline"/>
        </w:rPr>
        <w:t xml:space="preserve">признать утратившим силу;</w:t>
      </w:r>
      <w:r>
        <w:rPr>
          <w:sz w:val="28"/>
          <w:szCs w:val="28"/>
          <w:vertAlign w:val="baseli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1.15. в приложении 5:</w:t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1.15.1. пункт 4.2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1.15.2. графу «Реквизиты протокола инвестиционной комиссии с решением о возможности (невозможности) создания объекта МЧП (да/нет)» таблицы «ПОРТФЕЛЬ </w:t>
      </w:r>
      <w:r>
        <w:rPr>
          <w:sz w:val="28"/>
          <w:szCs w:val="28"/>
        </w:rPr>
        <w:t xml:space="preserve">проектов по объектам муниципальной собственности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Перми, по которым принято решение о целесообразности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осуществления капитальных вложений в объекты муниципальной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собственности города Перми»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  <w:vertAlign w:val="baseline"/>
        </w:rPr>
        <w:t xml:space="preserve">приложения </w:t>
        <w:br/>
        <w:t xml:space="preserve">к порядку управления портфелем исключить</w:t>
      </w:r>
      <w:r>
        <w:t xml:space="preserve">.</w:t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</w:t>
      </w:r>
      <w:r>
        <w:rPr>
          <w:sz w:val="28"/>
          <w:szCs w:val="28"/>
        </w:rPr>
        <w:t xml:space="preserve">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</w:t>
      </w:r>
      <w:r>
        <w:rPr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enQuanYi Micro Hei">
    <w:panose1 w:val="020B0606030804020204"/>
  </w:font>
  <w:font w:name="Tempora LGC Uni">
    <w:panose1 w:val="02020603050405020304"/>
  </w:font>
  <w:font w:name="Tahoma">
    <w:panose1 w:val="020B0606030504020204"/>
  </w:font>
  <w:font w:name="Calibri">
    <w:panose1 w:val="020F0502020204030204"/>
  </w:font>
  <w:font w:name="Segoe UI">
    <w:panose1 w:val="020B0503020203020204"/>
  </w:font>
  <w:font w:name="Lohit Devanagari">
    <w:panose1 w:val="020B0600000000000000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6"/>
    <w:link w:val="894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6"/>
    <w:link w:val="895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6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6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6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6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6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3"/>
    <w:next w:val="8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6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3"/>
    <w:next w:val="893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3"/>
    <w:next w:val="893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3"/>
    <w:next w:val="893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3"/>
    <w:next w:val="893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04"/>
    <w:uiPriority w:val="99"/>
  </w:style>
  <w:style w:type="character" w:styleId="749">
    <w:name w:val="Footer Char"/>
    <w:basedOn w:val="896"/>
    <w:link w:val="902"/>
    <w:uiPriority w:val="99"/>
  </w:style>
  <w:style w:type="character" w:styleId="750">
    <w:name w:val="Caption Char"/>
    <w:basedOn w:val="899"/>
    <w:link w:val="902"/>
    <w:uiPriority w:val="99"/>
  </w:style>
  <w:style w:type="table" w:styleId="751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6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6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next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95">
    <w:name w:val="Heading 2"/>
    <w:basedOn w:val="893"/>
    <w:next w:val="893"/>
    <w:qFormat/>
    <w:pPr>
      <w:ind w:right="-1"/>
      <w:jc w:val="both"/>
      <w:keepNext/>
      <w:outlineLvl w:val="1"/>
    </w:pPr>
    <w:rPr>
      <w:sz w:val="24"/>
    </w:rPr>
  </w:style>
  <w:style w:type="character" w:styleId="896" w:default="1">
    <w:name w:val="Default Paragraph Font"/>
    <w:semiHidden/>
  </w:style>
  <w:style w:type="table" w:styleId="89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semiHidden/>
  </w:style>
  <w:style w:type="paragraph" w:styleId="899">
    <w:name w:val="Caption"/>
    <w:basedOn w:val="893"/>
    <w:next w:val="8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Body Text"/>
    <w:basedOn w:val="893"/>
    <w:link w:val="928"/>
    <w:pPr>
      <w:ind w:right="3117"/>
    </w:pPr>
    <w:rPr>
      <w:rFonts w:ascii="Courier New" w:hAnsi="Courier New"/>
      <w:sz w:val="26"/>
    </w:rPr>
  </w:style>
  <w:style w:type="paragraph" w:styleId="901">
    <w:name w:val="Body Text Indent"/>
    <w:basedOn w:val="893"/>
    <w:pPr>
      <w:ind w:right="-1"/>
      <w:jc w:val="both"/>
    </w:pPr>
    <w:rPr>
      <w:sz w:val="26"/>
    </w:rPr>
  </w:style>
  <w:style w:type="paragraph" w:styleId="902">
    <w:name w:val="Footer"/>
    <w:basedOn w:val="893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3">
    <w:name w:val="page number"/>
    <w:basedOn w:val="896"/>
  </w:style>
  <w:style w:type="paragraph" w:styleId="904">
    <w:name w:val="Header"/>
    <w:basedOn w:val="893"/>
    <w:link w:val="907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Balloon Text"/>
    <w:basedOn w:val="893"/>
    <w:link w:val="906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904"/>
    <w:uiPriority w:val="99"/>
  </w:style>
  <w:style w:type="numbering" w:styleId="908" w:customStyle="1">
    <w:name w:val="Нет списка1"/>
    <w:next w:val="898"/>
    <w:uiPriority w:val="99"/>
    <w:semiHidden/>
    <w:unhideWhenUsed/>
  </w:style>
  <w:style w:type="paragraph" w:styleId="9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0">
    <w:name w:val="Hyperlink"/>
    <w:uiPriority w:val="99"/>
    <w:unhideWhenUsed/>
    <w:rPr>
      <w:color w:val="0000ff"/>
      <w:u w:val="single"/>
    </w:rPr>
  </w:style>
  <w:style w:type="character" w:styleId="911">
    <w:name w:val="FollowedHyperlink"/>
    <w:uiPriority w:val="99"/>
    <w:unhideWhenUsed/>
    <w:rPr>
      <w:color w:val="800080"/>
      <w:u w:val="single"/>
    </w:rPr>
  </w:style>
  <w:style w:type="paragraph" w:styleId="912" w:customStyle="1">
    <w:name w:val="xl65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8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</w:rPr>
  </w:style>
  <w:style w:type="character" w:styleId="928" w:customStyle="1">
    <w:name w:val="Основной текст Знак"/>
    <w:link w:val="900"/>
    <w:rPr>
      <w:rFonts w:ascii="Courier New" w:hAnsi="Courier New"/>
      <w:sz w:val="26"/>
    </w:rPr>
  </w:style>
  <w:style w:type="paragraph" w:styleId="929" w:customStyle="1">
    <w:name w:val="ConsPlusNormal"/>
    <w:rPr>
      <w:sz w:val="28"/>
      <w:szCs w:val="28"/>
    </w:rPr>
  </w:style>
  <w:style w:type="numbering" w:styleId="930" w:customStyle="1">
    <w:name w:val="Нет списка11"/>
    <w:next w:val="898"/>
    <w:uiPriority w:val="99"/>
    <w:semiHidden/>
    <w:unhideWhenUsed/>
  </w:style>
  <w:style w:type="numbering" w:styleId="931" w:customStyle="1">
    <w:name w:val="Нет списка111"/>
    <w:next w:val="898"/>
    <w:uiPriority w:val="99"/>
    <w:semiHidden/>
    <w:unhideWhenUsed/>
  </w:style>
  <w:style w:type="paragraph" w:styleId="932" w:customStyle="1">
    <w:name w:val="font5"/>
    <w:basedOn w:val="8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 w:customStyle="1">
    <w:name w:val="xl8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1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2"/>
    <w:basedOn w:val="8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6">
    <w:name w:val="Table Grid"/>
    <w:basedOn w:val="89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 w:customStyle="1">
    <w:name w:val="xl8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8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8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8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8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8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898"/>
    <w:uiPriority w:val="99"/>
    <w:semiHidden/>
    <w:unhideWhenUsed/>
  </w:style>
  <w:style w:type="numbering" w:styleId="981" w:customStyle="1">
    <w:name w:val="Нет списка3"/>
    <w:next w:val="898"/>
    <w:uiPriority w:val="99"/>
    <w:semiHidden/>
    <w:unhideWhenUsed/>
  </w:style>
  <w:style w:type="paragraph" w:styleId="982" w:customStyle="1">
    <w:name w:val="font6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8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898"/>
    <w:uiPriority w:val="99"/>
    <w:semiHidden/>
    <w:unhideWhenUsed/>
  </w:style>
  <w:style w:type="paragraph" w:styleId="986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7" w:customStyle="1">
    <w:name w:val="Нижний колонтитул Знак"/>
    <w:link w:val="902"/>
    <w:uiPriority w:val="99"/>
  </w:style>
  <w:style w:type="paragraph" w:styleId="988" w:customStyle="1">
    <w:name w:val="Text body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empora LGC Uni" w:hAnsi="Tempora LGC Uni" w:eastAsia="WenQuanYi Micro Hei" w:cs="Lohit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35</cp:revision>
  <dcterms:created xsi:type="dcterms:W3CDTF">2024-10-25T06:26:00Z</dcterms:created>
  <dcterms:modified xsi:type="dcterms:W3CDTF">2025-08-25T11:50:34Z</dcterms:modified>
</cp:coreProperties>
</file>