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right="5387"/>
        <w:spacing w:line="240" w:lineRule="exact"/>
        <w:rPr>
          <w:b/>
        </w:rPr>
      </w:pPr>
      <w:r>
        <w:rPr>
          <w:b/>
        </w:rPr>
        <w:t xml:space="preserve">О внесении изм</w:t>
      </w:r>
      <w:r>
        <w:rPr>
          <w:b/>
        </w:rPr>
        <w:t xml:space="preserve">енений </w:t>
      </w:r>
      <w:r>
        <w:rPr>
          <w:b/>
        </w:rPr>
      </w:r>
      <w:r>
        <w:rPr>
          <w:b/>
        </w:rPr>
      </w:r>
    </w:p>
    <w:p>
      <w:pPr>
        <w:pStyle w:val="863"/>
        <w:ind w:right="5387"/>
        <w:spacing w:line="240" w:lineRule="exact"/>
        <w:rPr>
          <w:b/>
        </w:rPr>
      </w:pPr>
      <w:r>
        <w:rPr>
          <w:b/>
        </w:rPr>
        <w:t xml:space="preserve">в о</w:t>
      </w:r>
      <w:r>
        <w:rPr>
          <w:b/>
        </w:rPr>
        <w:t xml:space="preserve">тдельные правовые акты администрации города Перми, утверждающие </w:t>
      </w:r>
      <w:r>
        <w:rPr>
          <w:b/>
        </w:rPr>
        <w:t xml:space="preserve">методики</w:t>
      </w:r>
      <w:r>
        <w:rPr>
          <w:b/>
        </w:rPr>
        <w:t xml:space="preserve"> </w:t>
      </w:r>
      <w:r>
        <w:rPr>
          <w:b/>
        </w:rPr>
        <w:t xml:space="preserve">расчета нормативных затрат на оказание муниципальных услуг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63"/>
        <w:ind w:right="5387"/>
        <w:spacing w:line="240" w:lineRule="exact"/>
        <w:rPr>
          <w:b/>
        </w:rPr>
      </w:pPr>
      <w:r>
        <w:rPr>
          <w:b/>
        </w:rPr>
        <w:t xml:space="preserve">в сфере образования </w:t>
      </w:r>
      <w:r>
        <w:rPr>
          <w:b/>
        </w:rPr>
      </w:r>
      <w:r>
        <w:rPr>
          <w:b/>
        </w:rPr>
      </w:r>
    </w:p>
    <w:p>
      <w:pPr>
        <w:pStyle w:val="84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актуализации нормативной правовой базы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го</w:t>
      </w:r>
      <w:r>
        <w:rPr>
          <w:rFonts w:ascii="Times New Roman" w:hAnsi="Times New Roman"/>
          <w:sz w:val="28"/>
          <w:szCs w:val="28"/>
          <w:lang w:val="ru-RU"/>
        </w:rPr>
        <w:t xml:space="preserve">рода Перми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5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4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города Перми </w:t>
        <w:br w:type="textWrapping" w:clear="all"/>
        <w:t xml:space="preserve">от 1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августа</w:t>
      </w:r>
      <w:r>
        <w:rPr>
          <w:color w:val="000000"/>
          <w:sz w:val="28"/>
          <w:szCs w:val="28"/>
        </w:rPr>
        <w:t xml:space="preserve"> 2016 г. № 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76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расчета нормативных затрат на оказание муниципальной услуги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Реализация основных обще</w:t>
      </w:r>
      <w:r>
        <w:rPr>
          <w:color w:val="000000"/>
          <w:sz w:val="28"/>
          <w:szCs w:val="28"/>
        </w:rPr>
        <w:t xml:space="preserve">образовательных программ дошкольного образования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ред.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16.02.2017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117, от 18.08.2017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639, от 06.10.2017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 от 20.11.2018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901, от 24.09.2019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592,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от 27.07.2021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561,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20.06.2022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493, 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953, от 10.01.2024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), заменив</w:t>
      </w:r>
      <w:r>
        <w:rPr>
          <w:color w:val="000000"/>
          <w:sz w:val="28"/>
          <w:szCs w:val="28"/>
        </w:rPr>
        <w:t xml:space="preserve"> 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слова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</w:t>
      </w:r>
      <w:r>
        <w:rPr>
          <w:color w:val="000000"/>
          <w:sz w:val="28"/>
          <w:szCs w:val="28"/>
        </w:rPr>
        <w:t xml:space="preserve">ивных затрат на оказание государственных (муниципальных) услуг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профессионального образования, дополнительного образования детей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 взрослых, дополнительного профессионального образования для лиц, име</w:t>
      </w:r>
      <w:r>
        <w:rPr>
          <w:color w:val="000000"/>
          <w:sz w:val="28"/>
          <w:szCs w:val="28"/>
        </w:rPr>
        <w:t xml:space="preserve">ющих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при расчете объема субсидии на финансовое обеспечение выполнения государственного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</w:t>
      </w:r>
      <w:r>
        <w:rPr>
          <w:color w:val="000000"/>
          <w:sz w:val="28"/>
          <w:szCs w:val="28"/>
        </w:rPr>
        <w:t xml:space="preserve">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 словами 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утверждении общих требований к определению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</w:t>
      </w:r>
      <w:r>
        <w:rPr>
          <w:sz w:val="28"/>
          <w:szCs w:val="28"/>
        </w:rPr>
        <w:t xml:space="preserve">дарственных (муниципальных) услуг в сфере дошкольного, начального обще</w:t>
      </w:r>
      <w:r>
        <w:rPr>
          <w:sz w:val="28"/>
          <w:szCs w:val="28"/>
        </w:rPr>
        <w:t xml:space="preserve">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</w:t>
      </w:r>
      <w:r>
        <w:rPr>
          <w:sz w:val="28"/>
          <w:szCs w:val="28"/>
        </w:rPr>
        <w:t xml:space="preserve">е образование, профессионального обучения, опеки 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</w:t>
      </w:r>
      <w:r>
        <w:rPr>
          <w:sz w:val="28"/>
          <w:szCs w:val="28"/>
        </w:rPr>
        <w:t xml:space="preserve"> оказание государственных (муниципальных) услуг (выполнение работ) гос</w:t>
      </w:r>
      <w:r>
        <w:rPr>
          <w:sz w:val="28"/>
          <w:szCs w:val="28"/>
        </w:rPr>
        <w:t xml:space="preserve">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Методику </w:t>
      </w:r>
      <w:r>
        <w:rPr>
          <w:color w:val="000000"/>
          <w:sz w:val="28"/>
          <w:szCs w:val="28"/>
        </w:rPr>
        <w:t xml:space="preserve">расчета нормативных затрат на оказание муниципальной услуги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Реализация основных общеобразовательных программ дошкольного образования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нормативных затрат на с</w:t>
      </w:r>
      <w:r>
        <w:rPr>
          <w:color w:val="000000"/>
          <w:sz w:val="28"/>
          <w:szCs w:val="28"/>
        </w:rPr>
        <w:t xml:space="preserve">одержание муниципального имущества, уплату налогов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2016 г.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76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ред. </w:t>
      </w:r>
      <w:r>
        <w:rPr>
          <w:color w:val="000000"/>
          <w:sz w:val="28"/>
          <w:szCs w:val="28"/>
        </w:rPr>
        <w:t xml:space="preserve">от 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</w:t>
      </w:r>
      <w:r>
        <w:rPr>
          <w:color w:val="000000"/>
          <w:sz w:val="28"/>
          <w:szCs w:val="28"/>
        </w:rPr>
        <w:t xml:space="preserve"> </w:t>
        <w:br w:type="textWrapping" w:clear="all"/>
      </w:r>
      <w:r>
        <w:rPr>
          <w:color w:val="000000"/>
          <w:sz w:val="28"/>
          <w:szCs w:val="28"/>
        </w:rPr>
        <w:t xml:space="preserve">от 16.02.2017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117, от 18.08.2017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639, о</w:t>
      </w:r>
      <w:r>
        <w:rPr>
          <w:color w:val="000000"/>
          <w:sz w:val="28"/>
          <w:szCs w:val="28"/>
        </w:rPr>
        <w:t xml:space="preserve">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617, от 20.11.2018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901, от 24.09.2019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592,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27.07.2021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561,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20.06.2022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493, от 10.10.2023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953, от 10.01.2024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</w:r>
      <w:r>
        <w:rPr>
          <w:sz w:val="28"/>
          <w:szCs w:val="28"/>
        </w:rPr>
        <w:t xml:space="preserve">в абзаце третьем пункта 3.2 слова </w:t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</w:t>
      </w:r>
      <w:r>
        <w:rPr>
          <w:color w:val="000000"/>
          <w:sz w:val="28"/>
          <w:szCs w:val="28"/>
        </w:rPr>
        <w:t xml:space="preserve">бщих требований к определению нормативных затрат 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(муниципальных) услуг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</w:t>
      </w:r>
      <w:r>
        <w:rPr>
          <w:color w:val="000000"/>
          <w:sz w:val="28"/>
          <w:szCs w:val="28"/>
        </w:rPr>
        <w:t xml:space="preserve">, дополнительного образования детей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обучения, применяемых при расчете объема субсидии на финансовое обеспечение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</w:t>
      </w:r>
      <w:r>
        <w:rPr>
          <w:color w:val="000000"/>
          <w:sz w:val="28"/>
          <w:szCs w:val="28"/>
        </w:rPr>
        <w:t xml:space="preserve">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 xml:space="preserve">» словами 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</w:t>
      </w:r>
      <w:r>
        <w:rPr>
          <w:sz w:val="28"/>
          <w:szCs w:val="28"/>
        </w:rPr>
        <w:t xml:space="preserve">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оказание государственных (м</w:t>
      </w:r>
      <w:r>
        <w:rPr>
          <w:sz w:val="28"/>
          <w:szCs w:val="28"/>
        </w:rPr>
        <w:t xml:space="preserve">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взрослых, дополнительного профессионального образования для лиц, имеющих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получающих среднее профессиональное образование, профессионального обучения, опеки и попечительства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</w:t>
      </w:r>
      <w:r>
        <w:rPr>
          <w:sz w:val="28"/>
          <w:szCs w:val="28"/>
        </w:rPr>
        <w:t xml:space="preserve">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4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Внести изменения в постановление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 xml:space="preserve">2016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 xml:space="preserve">76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расчета нормативных затрат на оказание муниципальной услуги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Присмотр и уход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 муниципальных образовательных учреждениях города Перми, реализующих образовательную программу дошкольного образования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ред. </w:t>
      </w:r>
      <w:r>
        <w:rPr>
          <w:color w:val="000000"/>
          <w:sz w:val="28"/>
          <w:szCs w:val="28"/>
        </w:rPr>
        <w:t xml:space="preserve">от 13.02.2017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95, от 30.05.2017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16,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 от 19.10.2017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881, от 19.10.2017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906,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24.09.2019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592, от 02.07.2021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497, от 20.06.2022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493, от 28.11.2023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1318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заменив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</w:t>
      </w:r>
      <w:r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оказание государственных (муниципальных)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при расчете объема субсидии на финансовое обеспечение выполнения государственного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к определению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общего, ос</w:t>
      </w:r>
      <w:r>
        <w:rPr>
          <w:sz w:val="28"/>
          <w:szCs w:val="28"/>
        </w:rPr>
        <w:t xml:space="preserve">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работ) государственным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Методику </w:t>
      </w:r>
      <w:r>
        <w:rPr>
          <w:sz w:val="28"/>
          <w:szCs w:val="28"/>
        </w:rPr>
        <w:t xml:space="preserve">расчета нормативных затрат на оказание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Присмотр и уход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муниципальных образовательных учреж</w:t>
      </w:r>
      <w:r>
        <w:rPr>
          <w:sz w:val="28"/>
          <w:szCs w:val="28"/>
        </w:rPr>
        <w:t xml:space="preserve">дениях города Перми, реализующих образовательную программу дошкольного образования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сентября 2016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от 13.02.2017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95, от 30.05.2017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416,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 от 19.10.2017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881, от 19.10.2017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906,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24.09.2019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592, от 02.07.2021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497, от 20.06.2022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493, от 28.11.2023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1318),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</w:r>
      <w:r>
        <w:rPr>
          <w:sz w:val="28"/>
          <w:szCs w:val="28"/>
        </w:rPr>
        <w:t xml:space="preserve">в абзаце третьем пункта 3.</w:t>
      </w:r>
      <w:r>
        <w:rPr>
          <w:sz w:val="28"/>
          <w:szCs w:val="28"/>
        </w:rPr>
        <w:t xml:space="preserve">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определению нормативных затрат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обучения, применяемых при расчете объема субсидии на финансовое обеспечение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ниципального) задания на оказание государственных (муниципальных</w:t>
      </w:r>
      <w:r>
        <w:rPr>
          <w:color w:val="000000"/>
          <w:sz w:val="28"/>
          <w:szCs w:val="28"/>
        </w:rPr>
        <w:t xml:space="preserve">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оказание государственных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взрослых, дополнительного профессионального образования для лиц, имеющих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получающих среднее профессиональное образование, профес</w:t>
      </w:r>
      <w:r>
        <w:rPr>
          <w:sz w:val="28"/>
          <w:szCs w:val="28"/>
        </w:rPr>
        <w:t xml:space="preserve">сионального обучения, опеки и попечительства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1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62" w:left="1417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semiHidden/>
  </w:style>
  <w:style w:type="paragraph" w:styleId="854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5">
    <w:name w:val="Основной текст"/>
    <w:basedOn w:val="848"/>
    <w:next w:val="855"/>
    <w:link w:val="864"/>
    <w:pPr>
      <w:ind w:right="3117"/>
    </w:pPr>
    <w:rPr>
      <w:rFonts w:ascii="Courier New" w:hAnsi="Courier New"/>
      <w:sz w:val="26"/>
      <w:lang w:val="en-US" w:eastAsia="en-US"/>
    </w:rPr>
  </w:style>
  <w:style w:type="paragraph" w:styleId="856">
    <w:name w:val="Основной текст с отступом"/>
    <w:basedOn w:val="848"/>
    <w:next w:val="856"/>
    <w:link w:val="848"/>
    <w:pPr>
      <w:ind w:right="-1"/>
      <w:jc w:val="both"/>
    </w:pPr>
    <w:rPr>
      <w:sz w:val="26"/>
    </w:rPr>
  </w:style>
  <w:style w:type="paragraph" w:styleId="857">
    <w:name w:val="Нижний колонтитул"/>
    <w:basedOn w:val="848"/>
    <w:next w:val="857"/>
    <w:link w:val="866"/>
    <w:uiPriority w:val="99"/>
    <w:pPr>
      <w:tabs>
        <w:tab w:val="center" w:pos="4153" w:leader="none"/>
        <w:tab w:val="right" w:pos="8306" w:leader="none"/>
      </w:tabs>
    </w:pPr>
  </w:style>
  <w:style w:type="character" w:styleId="858">
    <w:name w:val="Номер страницы"/>
    <w:basedOn w:val="851"/>
    <w:next w:val="858"/>
    <w:link w:val="848"/>
  </w:style>
  <w:style w:type="paragraph" w:styleId="859">
    <w:name w:val="Верхний колонтитул"/>
    <w:basedOn w:val="848"/>
    <w:next w:val="859"/>
    <w:link w:val="862"/>
    <w:uiPriority w:val="99"/>
    <w:pPr>
      <w:tabs>
        <w:tab w:val="center" w:pos="4153" w:leader="none"/>
        <w:tab w:val="right" w:pos="8306" w:leader="none"/>
      </w:tabs>
    </w:pPr>
  </w:style>
  <w:style w:type="paragraph" w:styleId="860">
    <w:name w:val="Текст выноски"/>
    <w:basedOn w:val="848"/>
    <w:next w:val="860"/>
    <w:link w:val="861"/>
    <w:rPr>
      <w:rFonts w:ascii="Segoe UI" w:hAnsi="Segoe UI"/>
      <w:sz w:val="18"/>
      <w:szCs w:val="18"/>
      <w:lang w:val="en-US" w:eastAsia="en-US"/>
    </w:rPr>
  </w:style>
  <w:style w:type="character" w:styleId="861">
    <w:name w:val="Текст выноски Знак"/>
    <w:next w:val="861"/>
    <w:link w:val="860"/>
    <w:rPr>
      <w:rFonts w:ascii="Segoe UI" w:hAnsi="Segoe UI" w:cs="Segoe UI"/>
      <w:sz w:val="18"/>
      <w:szCs w:val="18"/>
    </w:rPr>
  </w:style>
  <w:style w:type="character" w:styleId="862">
    <w:name w:val="Верхний колонтитул Знак"/>
    <w:next w:val="862"/>
    <w:link w:val="859"/>
    <w:uiPriority w:val="99"/>
  </w:style>
  <w:style w:type="paragraph" w:styleId="863">
    <w:name w:val="Форма"/>
    <w:next w:val="863"/>
    <w:link w:val="848"/>
    <w:rPr>
      <w:sz w:val="28"/>
      <w:szCs w:val="28"/>
      <w:lang w:val="ru-RU" w:eastAsia="ru-RU" w:bidi="ar-SA"/>
    </w:rPr>
  </w:style>
  <w:style w:type="character" w:styleId="864">
    <w:name w:val="Основной текст Знак"/>
    <w:next w:val="864"/>
    <w:link w:val="855"/>
    <w:rPr>
      <w:rFonts w:ascii="Courier New" w:hAnsi="Courier New"/>
      <w:sz w:val="26"/>
    </w:rPr>
  </w:style>
  <w:style w:type="paragraph" w:styleId="865">
    <w:name w:val="ConsPlusTitle"/>
    <w:next w:val="865"/>
    <w:link w:val="84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66">
    <w:name w:val="Нижний колонтитул Знак"/>
    <w:basedOn w:val="851"/>
    <w:next w:val="866"/>
    <w:link w:val="857"/>
    <w:uiPriority w:val="99"/>
  </w:style>
  <w:style w:type="table" w:styleId="867">
    <w:name w:val="0-19"/>
    <w:basedOn w:val="852"/>
    <w:next w:val="867"/>
    <w:link w:val="848"/>
    <w:rPr>
      <w:sz w:val="28"/>
    </w:rPr>
    <w:tblPr/>
  </w:style>
  <w:style w:type="table" w:styleId="868">
    <w:name w:val="Веб-таблица 1"/>
    <w:basedOn w:val="852"/>
    <w:next w:val="868"/>
    <w:link w:val="848"/>
    <w:tblPr/>
  </w:style>
  <w:style w:type="table" w:styleId="869">
    <w:name w:val="Сетка таблицы"/>
    <w:basedOn w:val="852"/>
    <w:next w:val="869"/>
    <w:link w:val="848"/>
    <w:tblPr/>
  </w:style>
  <w:style w:type="table" w:styleId="870">
    <w:name w:val="Стиль0-19"/>
    <w:basedOn w:val="852"/>
    <w:next w:val="870"/>
    <w:link w:val="848"/>
    <w:tblPr/>
  </w:style>
  <w:style w:type="paragraph" w:styleId="871">
    <w:name w:val="ConsPlusNormal"/>
    <w:next w:val="871"/>
    <w:link w:val="848"/>
    <w:pPr>
      <w:widowControl w:val="off"/>
    </w:pPr>
    <w:rPr>
      <w:sz w:val="24"/>
      <w:szCs w:val="24"/>
      <w:lang w:val="ru-RU" w:eastAsia="ru-RU" w:bidi="ar-SA"/>
    </w:rPr>
  </w:style>
  <w:style w:type="paragraph" w:styleId="872">
    <w:name w:val="Обычный (Интернет)"/>
    <w:basedOn w:val="848"/>
    <w:next w:val="872"/>
    <w:link w:val="848"/>
    <w:rPr>
      <w:sz w:val="24"/>
      <w:szCs w:val="24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24</cp:revision>
  <dcterms:created xsi:type="dcterms:W3CDTF">2024-08-16T05:08:00Z</dcterms:created>
  <dcterms:modified xsi:type="dcterms:W3CDTF">2025-08-26T09:29:07Z</dcterms:modified>
  <cp:version>1048576</cp:version>
</cp:coreProperties>
</file>