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3012077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474879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7.17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spacing w:line="240" w:lineRule="exact"/>
        <w:rPr>
          <w:b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вопросам организации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оздоровления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отдыха детей</w:t>
      </w:r>
      <w:r>
        <w:rPr>
          <w:b/>
        </w:rPr>
      </w:r>
      <w:r>
        <w:rPr>
          <w:b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85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октября 2003 г. № 131-ФЗ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ind w:right="-1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t xml:space="preserve">от 19 октября 2017 г. № 87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«Об утверждении Методики расчета нормативных затрат </w:t>
        <w:br/>
        <w:t xml:space="preserve">на оказание муниципальной услуги «Организация отдыха детей и молодежи» </w:t>
        <w:br/>
        <w:t xml:space="preserve">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03.04.2019 № 64-П, </w:t>
        <w:br/>
        <w:t xml:space="preserve">от 07.04.2020 № 332, от 20.07.2020 № 629, от 30.09.2020 № 913, от 14.05.2021 </w:t>
        <w:br/>
        <w:t xml:space="preserve">№ 350, от 06.08.2021 № 580, от 11.10.2021 № 837, от 13.10.2023 № 1048, </w:t>
        <w:br/>
        <w:t xml:space="preserve">от 05.12.2023 № 1370,</w:t>
      </w:r>
      <w:r>
        <w:rPr>
          <w:sz w:val="28"/>
          <w:szCs w:val="28"/>
        </w:rPr>
        <w:t xml:space="preserve"> от 28.05.2025 № 369)</w:t>
      </w:r>
      <w:r>
        <w:rPr>
          <w:sz w:val="28"/>
          <w:szCs w:val="28"/>
        </w:rPr>
        <w:t xml:space="preserve">, изложив преамбулу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законами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 июля 1998 г. № 124-ФЗ </w:t>
        <w:br/>
        <w:t xml:space="preserve">«Об основных гарантиях прав ребенка 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06 октября 2003 г. № 131-ФЗ 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науки и высшего образования Российской Федерации от 26 марта 2021 г. № 209 «Об утверждении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ссионального образования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ных) услуг (выполнение работ) государственным (муниципальным) учреждением»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 </w:t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города Перми ПОСТАНОВЛЯЕТ:»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Внести изменения в Методику расчета норм</w:t>
      </w:r>
      <w:r>
        <w:rPr>
          <w:sz w:val="28"/>
          <w:szCs w:val="28"/>
        </w:rPr>
        <w:t xml:space="preserve">ативных затрат на оказание муни</w:t>
      </w:r>
      <w:r>
        <w:rPr>
          <w:sz w:val="28"/>
          <w:szCs w:val="28"/>
        </w:rPr>
        <w:t xml:space="preserve">ципальной услуги «Организация отдыха детей и молодежи» в каникулярное время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дневным пребыванием</w:t>
      </w:r>
      <w:r>
        <w:rPr>
          <w:sz w:val="28"/>
          <w:szCs w:val="28"/>
        </w:rPr>
        <w:t xml:space="preserve">, утвержд</w:t>
      </w:r>
      <w:r>
        <w:rPr>
          <w:sz w:val="28"/>
          <w:szCs w:val="28"/>
        </w:rPr>
        <w:t xml:space="preserve">енную постановлением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города Перми от 19 октября 2017 г. № 872 (</w:t>
      </w:r>
      <w:r>
        <w:rPr>
          <w:sz w:val="28"/>
          <w:szCs w:val="28"/>
        </w:rPr>
        <w:t xml:space="preserve">в ред. от </w:t>
      </w:r>
      <w:r>
        <w:rPr>
          <w:sz w:val="28"/>
          <w:szCs w:val="28"/>
        </w:rPr>
        <w:t xml:space="preserve">03.04.2019 № 64-П, </w:t>
        <w:br/>
        <w:t xml:space="preserve">от 07.04.2020 № 332, от 20.07.2020 № 629, от 30.09.2020 № 913, от 14.05.2021 </w:t>
        <w:br/>
        <w:t xml:space="preserve">№ 350, от 06.08.2021 № 580, от 11.10.2021 № 837, от 13.10.2023 № 1048, </w:t>
        <w:br/>
        <w:t xml:space="preserve">от 05.12.2023 № 1370, от 28.05.2025 № 369)</w:t>
      </w:r>
      <w:r>
        <w:rPr>
          <w:sz w:val="28"/>
          <w:szCs w:val="28"/>
        </w:rPr>
        <w:t xml:space="preserve">, изложив абзац второй пункта 5.4 </w:t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Nот = (nотр x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(ДОпо + С) x 12 / Крдг x 15) х ИПЦ,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br/>
        <w:t xml:space="preserve">от 19 октября 2017 г. № 87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«Об утверждении Методики расчета нормативных затрат на оказание муниципальной услуги «Организация отдыха детей </w:t>
        <w:br/>
        <w:t xml:space="preserve">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.2019 № </w:t>
      </w:r>
      <w:r>
        <w:rPr>
          <w:sz w:val="28"/>
          <w:szCs w:val="28"/>
        </w:rPr>
        <w:t xml:space="preserve">622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07.04.2020 № 332, </w:t>
      </w:r>
      <w:r>
        <w:rPr>
          <w:sz w:val="28"/>
          <w:szCs w:val="28"/>
        </w:rPr>
        <w:t xml:space="preserve">от 06.08.2021 № 580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1048</w:t>
      </w:r>
      <w:r>
        <w:rPr>
          <w:sz w:val="28"/>
          <w:szCs w:val="28"/>
        </w:rPr>
        <w:t xml:space="preserve">, </w:t>
        <w:br/>
        <w:t xml:space="preserve">от 05.12.2023 </w:t>
      </w:r>
      <w:r>
        <w:rPr>
          <w:sz w:val="28"/>
          <w:szCs w:val="28"/>
        </w:rPr>
        <w:t xml:space="preserve">№ 1370, от 25.06.2024 № 531</w:t>
      </w:r>
      <w:r>
        <w:rPr>
          <w:sz w:val="28"/>
          <w:szCs w:val="28"/>
        </w:rPr>
        <w:t xml:space="preserve">, от 28.05.2025 № 369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преамбулу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Федеральными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законами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 июля 1998 г. № 124-ФЗ </w:t>
        <w:br/>
        <w:t xml:space="preserve">«Об основных гарантиях прав ребенка 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06 октября 2003 г. № 131-ФЗ 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Министерства науки и высшего образования Российской Федерации от 26 марта 2021 г. № 209 «Об утверждении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ссионального образования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ных) услуг (выполнение работ) государственным (муниципальным) учреждением»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 </w:t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города Перми ПОСТАНОВЛЯЕТ:»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Внести изменения </w:t>
      </w:r>
      <w:r>
        <w:rPr>
          <w:sz w:val="28"/>
          <w:szCs w:val="28"/>
        </w:rPr>
        <w:t xml:space="preserve">в Методику расчета норм</w:t>
      </w:r>
      <w:r>
        <w:rPr>
          <w:sz w:val="28"/>
          <w:szCs w:val="28"/>
        </w:rPr>
        <w:t xml:space="preserve">ативных затрат на оказание муни</w:t>
      </w:r>
      <w:r>
        <w:rPr>
          <w:sz w:val="28"/>
          <w:szCs w:val="28"/>
        </w:rPr>
        <w:t xml:space="preserve">ципальной услуги «Организация отдыха детей и молодежи» в каникулярное время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круглосуточным пребыванием</w:t>
      </w:r>
      <w:r>
        <w:rPr>
          <w:sz w:val="28"/>
          <w:szCs w:val="28"/>
        </w:rPr>
        <w:t xml:space="preserve">, утвержд</w:t>
      </w:r>
      <w:r>
        <w:rPr>
          <w:sz w:val="28"/>
          <w:szCs w:val="28"/>
        </w:rPr>
        <w:t xml:space="preserve">енную постановлением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города Перми </w:t>
      </w:r>
      <w:r>
        <w:rPr>
          <w:sz w:val="28"/>
          <w:szCs w:val="28"/>
        </w:rPr>
        <w:t xml:space="preserve">от 19 октября 2017 г. № 873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.2019 </w:t>
        <w:br/>
        <w:t xml:space="preserve">№ </w:t>
      </w:r>
      <w:r>
        <w:rPr>
          <w:sz w:val="28"/>
          <w:szCs w:val="28"/>
        </w:rPr>
        <w:t xml:space="preserve">622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07.04.2020 № 332, </w:t>
      </w:r>
      <w:r>
        <w:rPr>
          <w:sz w:val="28"/>
          <w:szCs w:val="28"/>
        </w:rPr>
        <w:t xml:space="preserve">от 06.08.2021 № 580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1048</w:t>
      </w:r>
      <w:r>
        <w:rPr>
          <w:sz w:val="28"/>
          <w:szCs w:val="28"/>
        </w:rPr>
        <w:t xml:space="preserve">, </w:t>
        <w:br/>
        <w:t xml:space="preserve">от 05.12.2023 </w:t>
      </w:r>
      <w:r>
        <w:rPr>
          <w:sz w:val="28"/>
          <w:szCs w:val="28"/>
        </w:rPr>
        <w:t xml:space="preserve">№ 1370, от 25.06.2024 № 531</w:t>
      </w:r>
      <w:r>
        <w:rPr>
          <w:sz w:val="28"/>
          <w:szCs w:val="28"/>
        </w:rPr>
        <w:t xml:space="preserve">, от 28.05.2025 № 369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абзац второй пункта 5.4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= (nотр x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(ДОпо + С) x 12 / Крдг x 5) х ИПЦ,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распространяется на правоотношения, возникающие при формировании проекта бюджета на 2026  год и на плановый период 2027 и 2028 годов.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right="0"/>
        <w:jc w:val="both"/>
        <w:spacing w:line="240" w:lineRule="auto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1"/>
    <w:link w:val="879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1"/>
    <w:link w:val="880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1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1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1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8"/>
    <w:next w:val="878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1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8"/>
    <w:next w:val="878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1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8"/>
    <w:next w:val="878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1"/>
    <w:link w:val="725"/>
    <w:uiPriority w:val="10"/>
    <w:rPr>
      <w:sz w:val="48"/>
      <w:szCs w:val="48"/>
    </w:rPr>
  </w:style>
  <w:style w:type="paragraph" w:styleId="727">
    <w:name w:val="Subtitle"/>
    <w:basedOn w:val="878"/>
    <w:next w:val="878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1"/>
    <w:link w:val="727"/>
    <w:uiPriority w:val="11"/>
    <w:rPr>
      <w:sz w:val="24"/>
      <w:szCs w:val="24"/>
    </w:rPr>
  </w:style>
  <w:style w:type="paragraph" w:styleId="729">
    <w:name w:val="Quote"/>
    <w:basedOn w:val="878"/>
    <w:next w:val="878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8"/>
    <w:next w:val="878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1"/>
    <w:link w:val="889"/>
    <w:uiPriority w:val="99"/>
  </w:style>
  <w:style w:type="character" w:styleId="734">
    <w:name w:val="Footer Char"/>
    <w:basedOn w:val="881"/>
    <w:link w:val="887"/>
    <w:uiPriority w:val="99"/>
  </w:style>
  <w:style w:type="character" w:styleId="735">
    <w:name w:val="Caption Char"/>
    <w:basedOn w:val="884"/>
    <w:link w:val="887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1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1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paragraph" w:styleId="879">
    <w:name w:val="Heading 1"/>
    <w:basedOn w:val="878"/>
    <w:next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Heading 2"/>
    <w:basedOn w:val="878"/>
    <w:next w:val="878"/>
    <w:qFormat/>
    <w:pPr>
      <w:ind w:right="-1"/>
      <w:jc w:val="both"/>
      <w:keepNext/>
      <w:outlineLvl w:val="1"/>
    </w:pPr>
    <w:rPr>
      <w:sz w:val="24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Caption"/>
    <w:basedOn w:val="878"/>
    <w:next w:val="878"/>
    <w:link w:val="735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Body Text"/>
    <w:basedOn w:val="878"/>
    <w:link w:val="909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878"/>
    <w:pPr>
      <w:ind w:right="-1"/>
      <w:jc w:val="both"/>
    </w:pPr>
    <w:rPr>
      <w:sz w:val="26"/>
    </w:rPr>
  </w:style>
  <w:style w:type="paragraph" w:styleId="887">
    <w:name w:val="Footer"/>
    <w:basedOn w:val="878"/>
    <w:link w:val="901"/>
    <w:pPr>
      <w:tabs>
        <w:tab w:val="center" w:pos="4153" w:leader="none"/>
        <w:tab w:val="right" w:pos="8306" w:leader="none"/>
      </w:tabs>
    </w:pPr>
  </w:style>
  <w:style w:type="character" w:styleId="888">
    <w:name w:val="page number"/>
    <w:basedOn w:val="881"/>
  </w:style>
  <w:style w:type="paragraph" w:styleId="889">
    <w:name w:val="Header"/>
    <w:basedOn w:val="878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Balloon Text"/>
    <w:basedOn w:val="878"/>
    <w:link w:val="891"/>
    <w:rPr>
      <w:rFonts w:ascii="Segoe UI" w:hAnsi="Segoe UI"/>
      <w:sz w:val="18"/>
      <w:szCs w:val="18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889"/>
    <w:uiPriority w:val="99"/>
  </w:style>
  <w:style w:type="paragraph" w:styleId="893" w:customStyle="1">
    <w:name w:val="Форма"/>
    <w:rPr>
      <w:sz w:val="28"/>
      <w:szCs w:val="28"/>
    </w:rPr>
  </w:style>
  <w:style w:type="paragraph" w:styleId="894" w:customStyle="1">
    <w:name w:val="Абзац списка1"/>
    <w:basedOn w:val="878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7" w:customStyle="1">
    <w:name w:val="formattext"/>
    <w:basedOn w:val="878"/>
    <w:pPr>
      <w:spacing w:before="100" w:beforeAutospacing="1" w:after="100" w:afterAutospacing="1"/>
    </w:pPr>
    <w:rPr>
      <w:sz w:val="24"/>
      <w:szCs w:val="24"/>
    </w:rPr>
  </w:style>
  <w:style w:type="paragraph" w:styleId="898" w:customStyle="1">
    <w:name w:val="Исполнитель"/>
    <w:basedOn w:val="885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9">
    <w:name w:val="Table Grid"/>
    <w:basedOn w:val="882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>
    <w:name w:val="Normal (Web)"/>
    <w:basedOn w:val="8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1" w:customStyle="1">
    <w:name w:val="Нижний колонтитул Знак"/>
    <w:basedOn w:val="881"/>
    <w:link w:val="887"/>
  </w:style>
  <w:style w:type="character" w:styleId="902" w:customStyle="1">
    <w:name w:val="Текст примечания Знак"/>
    <w:basedOn w:val="881"/>
    <w:link w:val="903"/>
  </w:style>
  <w:style w:type="paragraph" w:styleId="903">
    <w:name w:val="annotation text"/>
    <w:basedOn w:val="878"/>
    <w:link w:val="902"/>
    <w:pPr>
      <w:ind w:firstLine="709"/>
    </w:pPr>
  </w:style>
  <w:style w:type="character" w:styleId="904" w:customStyle="1">
    <w:name w:val="Текст примечания Знак1"/>
    <w:basedOn w:val="881"/>
  </w:style>
  <w:style w:type="character" w:styleId="905">
    <w:name w:val="annotation reference"/>
    <w:rPr>
      <w:sz w:val="16"/>
      <w:szCs w:val="16"/>
    </w:rPr>
  </w:style>
  <w:style w:type="paragraph" w:styleId="906">
    <w:name w:val="annotation subject"/>
    <w:basedOn w:val="903"/>
    <w:next w:val="903"/>
    <w:link w:val="907"/>
    <w:pPr>
      <w:ind w:firstLine="0"/>
    </w:pPr>
    <w:rPr>
      <w:b/>
      <w:bCs/>
    </w:rPr>
  </w:style>
  <w:style w:type="character" w:styleId="907" w:customStyle="1">
    <w:name w:val="Тема примечания Знак"/>
    <w:link w:val="906"/>
    <w:rPr>
      <w:b/>
      <w:bCs/>
    </w:rPr>
  </w:style>
  <w:style w:type="character" w:styleId="908">
    <w:name w:val="Placeholder Text"/>
    <w:basedOn w:val="881"/>
    <w:uiPriority w:val="99"/>
    <w:semiHidden/>
    <w:rPr>
      <w:color w:val="808080"/>
    </w:rPr>
  </w:style>
  <w:style w:type="character" w:styleId="909" w:customStyle="1">
    <w:name w:val="Основной текст Знак"/>
    <w:basedOn w:val="881"/>
    <w:link w:val="885"/>
    <w:rPr>
      <w:rFonts w:ascii="Courier New" w:hAnsi="Courier New"/>
      <w:sz w:val="26"/>
    </w:rPr>
  </w:style>
  <w:style w:type="paragraph" w:styleId="910">
    <w:name w:val="List Paragraph"/>
    <w:basedOn w:val="878"/>
    <w:uiPriority w:val="34"/>
    <w:qFormat/>
    <w:pPr>
      <w:contextualSpacing/>
      <w:ind w:left="720"/>
    </w:pPr>
  </w:style>
  <w:style w:type="character" w:styleId="911">
    <w:name w:val="Hyperlink"/>
    <w:basedOn w:val="881"/>
    <w:unhideWhenUsed/>
    <w:rPr>
      <w:color w:val="0000ff" w:themeColor="hyperlink"/>
      <w:u w:val="single"/>
    </w:rPr>
  </w:style>
  <w:style w:type="paragraph" w:styleId="91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9D28-DE8E-4118-BCB7-FD4CCB1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35</cp:revision>
  <dcterms:created xsi:type="dcterms:W3CDTF">2024-06-10T10:32:00Z</dcterms:created>
  <dcterms:modified xsi:type="dcterms:W3CDTF">2025-08-26T09:49:56Z</dcterms:modified>
</cp:coreProperties>
</file>