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4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9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588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4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9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588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893"/>
        <w:spacing w:line="240" w:lineRule="exact"/>
        <w:rPr>
          <w:b/>
        </w:rPr>
      </w:pPr>
      <w:r>
        <w:rPr>
          <w:b/>
        </w:rPr>
        <w:t xml:space="preserve">в отдельные постановления </w:t>
      </w:r>
      <w:r>
        <w:rPr>
          <w:b/>
        </w:rPr>
      </w:r>
      <w:r>
        <w:rPr>
          <w:b/>
        </w:rPr>
      </w:r>
    </w:p>
    <w:p>
      <w:pPr>
        <w:pStyle w:val="893"/>
        <w:spacing w:line="240" w:lineRule="exact"/>
        <w:rPr>
          <w:b/>
          <w:bCs/>
        </w:rPr>
      </w:pPr>
      <w:r>
        <w:rPr>
          <w:b/>
        </w:rPr>
        <w:t xml:space="preserve">администрации города Перми</w:t>
      </w:r>
      <w:r>
        <w:rPr>
          <w:b/>
          <w:bCs/>
        </w:rPr>
      </w:r>
      <w:r>
        <w:rPr>
          <w:b/>
          <w:bCs/>
        </w:rPr>
      </w:r>
    </w:p>
    <w:p>
      <w:pPr>
        <w:pStyle w:val="893"/>
        <w:ind w:right="5237"/>
        <w:spacing w:line="240" w:lineRule="exact"/>
      </w:pPr>
      <w:r/>
      <w:r/>
    </w:p>
    <w:p>
      <w:pPr>
        <w:pStyle w:val="893"/>
        <w:ind w:right="5237"/>
        <w:spacing w:line="240" w:lineRule="exact"/>
      </w:pPr>
      <w:r/>
      <w:r/>
    </w:p>
    <w:p>
      <w:pPr>
        <w:pStyle w:val="893"/>
        <w:ind w:right="5237"/>
        <w:spacing w:line="240" w:lineRule="exact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bookmarkStart w:id="0" w:name="_Hlk202974622"/>
      <w:r>
        <w:rPr>
          <w:sz w:val="28"/>
          <w:szCs w:val="28"/>
        </w:rPr>
        <w:t xml:space="preserve">постановление администрации города Перми от 31 декабря 2015 г. № 1150 «О создании и использовании на платной основе парковок общего пользования местного значения города Перми» </w:t>
      </w:r>
      <w:bookmarkEnd w:id="0"/>
      <w:r>
        <w:rPr>
          <w:sz w:val="28"/>
          <w:szCs w:val="28"/>
        </w:rPr>
        <w:t xml:space="preserve">(в ред. от 26.02.2016 № 131, </w:t>
      </w:r>
      <w:r>
        <w:rPr>
          <w:sz w:val="28"/>
          <w:szCs w:val="28"/>
        </w:rPr>
        <w:br/>
        <w:t xml:space="preserve">от 04.08.2016 № 555, от 13.06.2017 № 456, от 24.08.2017 № 652, от 15.05.2018 </w:t>
      </w:r>
      <w:r>
        <w:rPr>
          <w:sz w:val="28"/>
          <w:szCs w:val="28"/>
        </w:rPr>
        <w:br/>
        <w:t xml:space="preserve">№ 301, от 17.08.2018 № 537, от 13.09.2018 № 601, от 04.12.2018 № 951, от 12.11.2020 № 1147, от 22.12.2021 № 1177, от 27.06.2022 № 536, от 28.10.2022 № 1087, </w:t>
      </w:r>
      <w:r>
        <w:rPr>
          <w:sz w:val="28"/>
          <w:szCs w:val="28"/>
        </w:rPr>
        <w:br/>
        <w:t xml:space="preserve">от 22.11.2022 № 1178, от 08.08.2023 № 677, от 18.10.2023 № 1090, от 24.11.2023 </w:t>
      </w:r>
      <w:r>
        <w:rPr>
          <w:sz w:val="28"/>
          <w:szCs w:val="28"/>
        </w:rPr>
        <w:br/>
        <w:t xml:space="preserve">№ 1300, от 03.05.2024 № 339, от 05.06.2024 № 452, от 05.07.2024 № 570, </w:t>
      </w:r>
      <w:r>
        <w:rPr>
          <w:sz w:val="28"/>
          <w:szCs w:val="28"/>
        </w:rPr>
        <w:br/>
        <w:t xml:space="preserve">от 26.11.2024 № 1132, от 23.04.2025 № 277), изложив преамбулу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lang w:eastAsia="zh-CN"/>
        </w:rPr>
        <w:t xml:space="preserve">В соответствии с Федеральными законами от 06 октября 2003 г. </w:t>
      </w:r>
      <w:hyperlink r:id="rId12" w:tooltip="https://login.consultant.ru/link/?req=doc&amp;base=LAW&amp;n=480999&amp;dst=263" w:history="1">
        <w:r>
          <w:rPr>
            <w:sz w:val="28"/>
            <w:szCs w:val="28"/>
            <w:lang w:eastAsia="zh-CN"/>
          </w:rPr>
          <w:t xml:space="preserve">№ 131-ФЗ</w:t>
        </w:r>
      </w:hyperlink>
      <w:r>
        <w:rPr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 08 ноября 2007 г. </w:t>
      </w:r>
      <w:hyperlink r:id="rId13" w:tooltip="https://login.consultant.ru/link/?req=doc&amp;base=LAW&amp;n=500026&amp;dst=27" w:history="1">
        <w:r>
          <w:rPr>
            <w:sz w:val="28"/>
            <w:szCs w:val="28"/>
            <w:lang w:eastAsia="zh-CN"/>
          </w:rPr>
          <w:t xml:space="preserve">№ 257-ФЗ</w:t>
        </w:r>
      </w:hyperlink>
      <w:r>
        <w:rPr>
          <w:sz w:val="28"/>
          <w:szCs w:val="28"/>
          <w:lang w:eastAsia="zh-CN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от 20 марта 2025 г. № 33-ФЗ «Об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  <w:lang w:eastAsia="zh-CN"/>
        </w:rPr>
        <w:t xml:space="preserve"> постановлением Правительства Пермского края от 07 июля 2025 г. № 55</w:t>
      </w:r>
      <w:r>
        <w:rPr>
          <w:sz w:val="28"/>
          <w:szCs w:val="28"/>
          <w:lang w:eastAsia="zh-CN"/>
        </w:rPr>
        <w:t xml:space="preserve">5-п «Об определении методики расчета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 и об установлен</w:t>
      </w:r>
      <w:r>
        <w:rPr>
          <w:sz w:val="28"/>
          <w:szCs w:val="28"/>
          <w:lang w:eastAsia="zh-CN"/>
        </w:rPr>
        <w:t xml:space="preserve">ии максимального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края», решением Пермской городской Думы </w:t>
      </w:r>
      <w:r>
        <w:rPr>
          <w:sz w:val="28"/>
          <w:szCs w:val="28"/>
          <w:lang w:eastAsia="zh-CN"/>
        </w:rPr>
        <w:br/>
        <w:t xml:space="preserve">от 26 апреля 2022 г. </w:t>
      </w:r>
      <w:hyperlink r:id="rId14" w:tooltip="https://login.consultant.ru/link/?req=doc&amp;base=RLAW368&amp;n=196725&amp;dst=100113" w:history="1">
        <w:r>
          <w:rPr>
            <w:sz w:val="28"/>
            <w:szCs w:val="28"/>
            <w:lang w:eastAsia="zh-CN"/>
          </w:rPr>
          <w:t xml:space="preserve">№ 78</w:t>
        </w:r>
      </w:hyperlink>
      <w:r>
        <w:rPr>
          <w:sz w:val="28"/>
          <w:szCs w:val="28"/>
          <w:lang w:eastAsia="zh-CN"/>
        </w:rPr>
        <w:t xml:space="preserve"> «Об утверждении Положения о парковках общего пользования местного значения города Перми» 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администрация города Перми ПОСТАНОВЛЯЕТ:».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Внести в </w:t>
      </w:r>
      <w:bookmarkStart w:id="1" w:name="_Hlk202974651"/>
      <w:r>
        <w:rPr>
          <w:sz w:val="28"/>
          <w:szCs w:val="28"/>
          <w:lang w:eastAsia="zh-CN"/>
        </w:rPr>
        <w:t xml:space="preserve">постановление администрации города Перми от 26 августа </w:t>
      </w:r>
      <w:r>
        <w:rPr>
          <w:sz w:val="28"/>
          <w:szCs w:val="28"/>
          <w:lang w:eastAsia="zh-CN"/>
        </w:rPr>
        <w:br/>
        <w:t xml:space="preserve">2022 г. № 718 «Об утверждении Порядка осуществления мониторинга уровня максимальной занятости парковочных мест на платных парковках общего пользования </w:t>
      </w:r>
      <w:r>
        <w:rPr>
          <w:sz w:val="28"/>
          <w:szCs w:val="28"/>
          <w:lang w:eastAsia="zh-CN"/>
        </w:rPr>
        <w:t xml:space="preserve">местного значения города Перми вдоль проезжей части в пределах тарифной зоны» </w:t>
      </w:r>
      <w:bookmarkEnd w:id="1"/>
      <w:r>
        <w:rPr>
          <w:sz w:val="28"/>
          <w:szCs w:val="28"/>
          <w:lang w:eastAsia="zh-CN"/>
        </w:rPr>
        <w:t xml:space="preserve">следующие изменения: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727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2.1. </w:t>
      </w:r>
      <w:r>
        <w:rPr>
          <w:sz w:val="28"/>
          <w:szCs w:val="28"/>
          <w:lang w:eastAsia="zh-CN"/>
        </w:rPr>
        <w:t xml:space="preserve">в наименовании слово «занятости» заменить словом «заполняемости»;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727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2.2. </w:t>
      </w:r>
      <w:r>
        <w:rPr>
          <w:sz w:val="28"/>
          <w:szCs w:val="28"/>
          <w:lang w:eastAsia="zh-CN"/>
        </w:rPr>
        <w:t xml:space="preserve">преамбулу изложить в следующей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«В соответствии с </w:t>
      </w:r>
      <w:bookmarkStart w:id="2" w:name="_Hlk202974761"/>
      <w:r>
        <w:rPr>
          <w:sz w:val="28"/>
          <w:szCs w:val="28"/>
          <w:lang w:eastAsia="zh-CN"/>
        </w:rPr>
        <w:t xml:space="preserve">постановлением Правительства Пермского края </w:t>
        <w:br/>
      </w:r>
      <w:r>
        <w:rPr>
          <w:sz w:val="28"/>
          <w:szCs w:val="28"/>
          <w:lang w:eastAsia="zh-CN"/>
        </w:rPr>
        <w:t xml:space="preserve">от 07 июля 2025 г. № 555-п «Об определении методики расчета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</w:t>
      </w:r>
      <w:r>
        <w:rPr>
          <w:sz w:val="28"/>
          <w:szCs w:val="28"/>
          <w:lang w:eastAsia="zh-CN"/>
        </w:rPr>
        <w:t xml:space="preserve">ории Пермского края и об установлении максимального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края»</w:t>
      </w:r>
      <w:bookmarkEnd w:id="2"/>
      <w:r>
        <w:rPr>
          <w:sz w:val="28"/>
          <w:szCs w:val="28"/>
          <w:lang w:eastAsia="zh-CN"/>
        </w:rPr>
        <w:t xml:space="preserve">, Уставом города Перми 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администрация города Перми ПОСТАНОВЛЯЕТ:»;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727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</w:t>
      </w:r>
      <w:r>
        <w:rPr>
          <w:sz w:val="28"/>
          <w:szCs w:val="28"/>
          <w:lang w:eastAsia="zh-CN"/>
        </w:rPr>
        <w:t xml:space="preserve">3</w:t>
      </w:r>
      <w:r>
        <w:rPr>
          <w:sz w:val="28"/>
          <w:szCs w:val="28"/>
          <w:lang w:eastAsia="zh-CN"/>
        </w:rPr>
        <w:t xml:space="preserve">. </w:t>
      </w:r>
      <w:r>
        <w:rPr>
          <w:sz w:val="28"/>
          <w:szCs w:val="28"/>
          <w:lang w:eastAsia="zh-CN"/>
        </w:rPr>
        <w:t xml:space="preserve">в пункте 1 слово «занятости» заменить словом «заполняемости».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Внести в Порядок осуществления мониторинга уровня максимальной занятости парковочных мест на платных парковках общего пользования местного значения города Перми</w:t>
      </w:r>
      <w:r>
        <w:rPr>
          <w:sz w:val="28"/>
          <w:szCs w:val="28"/>
          <w:lang w:eastAsia="zh-CN"/>
        </w:rPr>
        <w:t xml:space="preserve"> вдоль проезжей части в пределах тарифной зоны, утвержденный постановлением администрации города Перми от 26 августа 2022 г. </w:t>
      </w:r>
      <w:r>
        <w:rPr>
          <w:sz w:val="28"/>
          <w:szCs w:val="28"/>
          <w:lang w:eastAsia="zh-CN"/>
        </w:rPr>
        <w:br/>
        <w:t xml:space="preserve">№ 718</w:t>
      </w:r>
      <w:r>
        <w:rPr>
          <w:sz w:val="28"/>
          <w:szCs w:val="28"/>
          <w:lang w:eastAsia="zh-CN"/>
        </w:rPr>
        <w:t xml:space="preserve">,</w:t>
      </w:r>
      <w:r>
        <w:rPr>
          <w:sz w:val="28"/>
          <w:szCs w:val="28"/>
          <w:lang w:eastAsia="zh-CN"/>
        </w:rPr>
        <w:t xml:space="preserve"> следующие изменения: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3.1. в наименовании слово «занятости» заменить словом «заполняемости»;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3.2. в пункте 1.1 слово «занятости» заменить словом «заполняемости»;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3.3. пункт 2.1 изложить в следующей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left="0" w:righ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  <w:t xml:space="preserve">2.1. </w:t>
      </w:r>
      <w:r>
        <w:rPr>
          <w:sz w:val="28"/>
          <w:szCs w:val="28"/>
          <w:lang w:eastAsia="zh-CN"/>
        </w:rPr>
        <w:t xml:space="preserve">Мониторинг может производиться как в отношении всех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парковок, относящихся к одной тарифной зоне, так и произвольной совокупности кварталов </w:t>
        <w:br/>
        <w:t xml:space="preserve">в пределах тарифной зоны в целях анализа неравномерности уровня максимальной заполняемости парковок и выявления необходимости организации дополнительных тарифных зон.»;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3.4</w:t>
      </w:r>
      <w:r>
        <w:rPr>
          <w:sz w:val="28"/>
          <w:szCs w:val="28"/>
          <w:lang w:eastAsia="zh-CN"/>
        </w:rPr>
        <w:t xml:space="preserve">.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в пункте 2.3 слово «занятых» заменить словом «заполненных»;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</w:t>
      </w:r>
      <w:r>
        <w:rPr>
          <w:sz w:val="28"/>
          <w:szCs w:val="28"/>
          <w:lang w:eastAsia="zh-CN"/>
        </w:rPr>
        <w:t xml:space="preserve">5</w:t>
      </w:r>
      <w:r>
        <w:rPr>
          <w:sz w:val="28"/>
          <w:szCs w:val="28"/>
          <w:lang w:eastAsia="zh-CN"/>
        </w:rPr>
        <w:t xml:space="preserve">. </w:t>
      </w:r>
      <w:r>
        <w:rPr>
          <w:sz w:val="28"/>
          <w:szCs w:val="28"/>
          <w:lang w:eastAsia="zh-CN"/>
        </w:rPr>
        <w:t xml:space="preserve">в пункте 2.4 слово «занятости» заменить словом «заполняемости»;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</w:t>
      </w:r>
      <w:r>
        <w:rPr>
          <w:sz w:val="28"/>
          <w:szCs w:val="28"/>
          <w:lang w:eastAsia="zh-CN"/>
        </w:rPr>
        <w:t xml:space="preserve">6</w:t>
      </w:r>
      <w:r>
        <w:rPr>
          <w:sz w:val="28"/>
          <w:szCs w:val="28"/>
          <w:lang w:eastAsia="zh-CN"/>
        </w:rPr>
        <w:t xml:space="preserve">. </w:t>
      </w:r>
      <w:r>
        <w:rPr>
          <w:sz w:val="28"/>
          <w:szCs w:val="28"/>
          <w:lang w:eastAsia="zh-CN"/>
        </w:rPr>
        <w:t xml:space="preserve">пункт 2.5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изложить в следующей редакции: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  <w:t xml:space="preserve">2.5. </w:t>
      </w:r>
      <w:bookmarkStart w:id="3" w:name="_GoBack"/>
      <w:r/>
      <w:bookmarkEnd w:id="3"/>
      <w:r>
        <w:rPr>
          <w:sz w:val="28"/>
          <w:szCs w:val="28"/>
          <w:lang w:eastAsia="zh-CN"/>
        </w:rPr>
        <w:t xml:space="preserve">Акт мониторинга в течение 2 рабочих дней направляется Учреждением в департамент дорог и благоустройства администрации города Перми</w:t>
      </w:r>
      <w:r>
        <w:rPr>
          <w:sz w:val="28"/>
          <w:szCs w:val="28"/>
          <w:lang w:eastAsia="zh-CN"/>
        </w:rPr>
        <w:t xml:space="preserve"> (далее – Департамент).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случаях, установленных пунктами 2.7.1, 2.7.2 Методики расчета размера платы за пользование платными парковками на автомобильных дорогах регионального или межмуниципального значения Пермского края, автомоб</w:t>
      </w:r>
      <w:r>
        <w:rPr>
          <w:sz w:val="28"/>
          <w:szCs w:val="28"/>
          <w:lang w:eastAsia="zh-CN"/>
        </w:rPr>
        <w:t xml:space="preserve">ильных дорогах местного значения на территории Пермского края, утвержденной постановлением Правительства Пермского края от 07 июля 2025 г. № 555-п, Департамент в течение месяца, следующего за кварталом проведения мониторинга, направляет Главе города Перми </w:t>
      </w:r>
      <w:r>
        <w:rPr>
          <w:sz w:val="28"/>
          <w:szCs w:val="28"/>
          <w:lang w:eastAsia="zh-CN"/>
        </w:rPr>
        <w:t xml:space="preserve">информаци</w:t>
      </w:r>
      <w:r>
        <w:rPr>
          <w:sz w:val="28"/>
          <w:szCs w:val="28"/>
          <w:lang w:eastAsia="zh-CN"/>
        </w:rPr>
        <w:t xml:space="preserve">ю</w:t>
      </w:r>
      <w:r>
        <w:rPr>
          <w:sz w:val="28"/>
          <w:szCs w:val="28"/>
          <w:lang w:eastAsia="zh-CN"/>
        </w:rPr>
        <w:t xml:space="preserve"> о результатах мониторинга и выполнении условий изменения размера платы за пользование платными парковками</w:t>
      </w:r>
      <w:r>
        <w:rPr>
          <w:sz w:val="28"/>
          <w:szCs w:val="28"/>
          <w:lang w:eastAsia="zh-CN"/>
        </w:rPr>
        <w:t xml:space="preserve"> общего пользования местного значения города Перми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вдоль проезжей части </w:t>
      </w:r>
      <w:r>
        <w:rPr>
          <w:sz w:val="28"/>
          <w:szCs w:val="28"/>
          <w:lang w:eastAsia="zh-CN"/>
        </w:rPr>
        <w:t xml:space="preserve">в границах тарифной зоны</w:t>
      </w:r>
      <w:r>
        <w:rPr>
          <w:sz w:val="28"/>
          <w:szCs w:val="28"/>
          <w:lang w:eastAsia="zh-CN"/>
        </w:rPr>
        <w:t xml:space="preserve">.</w:t>
      </w:r>
      <w:r>
        <w:rPr>
          <w:sz w:val="28"/>
          <w:szCs w:val="28"/>
          <w:lang w:eastAsia="zh-CN"/>
        </w:rPr>
        <w:t xml:space="preserve">»;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3.7. </w:t>
      </w:r>
      <w:r>
        <w:rPr>
          <w:sz w:val="28"/>
          <w:szCs w:val="28"/>
          <w:lang w:eastAsia="zh-CN"/>
        </w:rPr>
        <w:t xml:space="preserve">приложение изложить в редакции согласно приложению к настоящему постановлению.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4</w:t>
      </w:r>
      <w:r>
        <w:rPr>
          <w:sz w:val="28"/>
          <w:szCs w:val="28"/>
          <w:lang w:eastAsia="zh-CN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</w:t>
      </w:r>
      <w:r>
        <w:rPr>
          <w:sz w:val="28"/>
          <w:szCs w:val="28"/>
          <w:lang w:eastAsia="zh-CN"/>
        </w:rPr>
        <w:t xml:space="preserve">. Управлению по общим вопр</w:t>
      </w:r>
      <w:r>
        <w:rPr>
          <w:sz w:val="28"/>
          <w:szCs w:val="28"/>
          <w:lang w:eastAsia="zh-CN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6</w:t>
      </w:r>
      <w:r>
        <w:rPr>
          <w:sz w:val="28"/>
          <w:szCs w:val="28"/>
          <w:lang w:eastAsia="zh-CN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869"/>
            <w:color w:val="auto"/>
            <w:sz w:val="28"/>
            <w:szCs w:val="28"/>
            <w:u w:val="none"/>
            <w:lang w:eastAsia="zh-CN"/>
          </w:rPr>
          <w:t xml:space="preserve">www.gorodperm.ru</w:t>
        </w:r>
      </w:hyperlink>
      <w:r>
        <w:rPr>
          <w:sz w:val="28"/>
          <w:szCs w:val="28"/>
          <w:lang w:eastAsia="zh-CN"/>
        </w:rPr>
        <w:t xml:space="preserve">».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09"/>
      </w:pPr>
      <w:r/>
      <w:r/>
    </w:p>
    <w:p>
      <w:pPr>
        <w:pStyle w:val="893"/>
        <w:ind w:firstLine="709"/>
      </w:pPr>
      <w:r/>
      <w:r/>
    </w:p>
    <w:p>
      <w:pPr>
        <w:pStyle w:val="893"/>
        <w:ind w:right="5386"/>
        <w:spacing w:line="240" w:lineRule="exact"/>
      </w:pPr>
      <w:r/>
      <w:r/>
    </w:p>
    <w:p>
      <w:pPr>
        <w:jc w:val="both"/>
        <w:spacing w:line="240" w:lineRule="exact"/>
        <w:tabs>
          <w:tab w:val="right" w:pos="99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</w:t>
      </w:r>
      <w:r>
        <w:rPr>
          <w:bCs/>
          <w:sz w:val="28"/>
          <w:szCs w:val="28"/>
        </w:rPr>
        <w:tab/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tabs>
          <w:tab w:val="right" w:pos="99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tabs>
          <w:tab w:val="right" w:pos="99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tabs>
          <w:tab w:val="right" w:pos="99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tabs>
          <w:tab w:val="right" w:pos="99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right"/>
        <w:rPr>
          <w:sz w:val="28"/>
          <w:szCs w:val="28"/>
          <w:lang w:eastAsia="zh-CN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left="0" w:right="0" w:firstLine="5669"/>
        <w:jc w:val="left"/>
        <w:spacing w:line="238" w:lineRule="exact"/>
        <w:rPr>
          <w:sz w:val="28"/>
          <w:szCs w:val="28"/>
          <w:lang w:eastAsia="zh-CN"/>
        </w:rPr>
        <w:outlineLvl w:val="0"/>
      </w:pPr>
      <w:r>
        <w:rPr>
          <w:sz w:val="28"/>
          <w:szCs w:val="28"/>
          <w:lang w:eastAsia="zh-CN"/>
        </w:rPr>
        <w:t xml:space="preserve">Приложение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left="0" w:right="0" w:firstLine="5669"/>
        <w:jc w:val="left"/>
        <w:spacing w:line="238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 постановлению администрации 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left="0" w:right="0" w:firstLine="5669"/>
        <w:jc w:val="left"/>
        <w:spacing w:line="238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города Перми 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left="0" w:right="0" w:firstLine="5669"/>
        <w:jc w:val="left"/>
        <w:spacing w:line="238" w:lineRule="exact"/>
        <w:rPr>
          <w:sz w:val="28"/>
          <w:szCs w:val="28"/>
          <w:highlight w:val="none"/>
          <w:lang w:eastAsia="zh-CN"/>
        </w:rPr>
      </w:pPr>
      <w:r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 xml:space="preserve">27.08.2025 № 588</w:t>
      </w:r>
      <w:r>
        <w:rPr>
          <w:sz w:val="28"/>
          <w:szCs w:val="28"/>
          <w:highlight w:val="none"/>
          <w:lang w:eastAsia="zh-CN"/>
        </w:rPr>
      </w:r>
    </w:p>
    <w:p>
      <w:pPr>
        <w:jc w:val="left"/>
        <w:spacing w:line="238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jc w:val="left"/>
        <w:spacing w:line="238" w:lineRule="exact"/>
        <w:rPr>
          <w:sz w:val="28"/>
          <w:szCs w:val="28"/>
          <w:lang w:eastAsia="zh-CN"/>
        </w:rPr>
      </w:pPr>
      <w:r>
        <w:rPr>
          <w:sz w:val="28"/>
          <w:szCs w:val="28"/>
          <w:highlight w:val="none"/>
          <w:lang w:eastAsia="zh-CN"/>
        </w:rPr>
      </w:r>
      <w:r>
        <w:rPr>
          <w:sz w:val="28"/>
          <w:szCs w:val="28"/>
          <w:highlight w:val="none"/>
          <w:lang w:eastAsia="zh-CN"/>
        </w:rPr>
      </w:r>
      <w:r>
        <w:rPr>
          <w:sz w:val="28"/>
          <w:szCs w:val="28"/>
          <w:lang w:eastAsia="zh-CN"/>
        </w:rPr>
      </w:r>
    </w:p>
    <w:p>
      <w:pPr>
        <w:jc w:val="right"/>
        <w:spacing w:line="238" w:lineRule="exact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ФОРМА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jc w:val="both"/>
        <w:spacing w:line="238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АКТ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мониторинга уровня максимальной заполняемости парковочных мест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на платных парковках общего пользования местного значения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города Перми вдоль проезжей части в пределах тарифной зоны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за период с ____________ по ______________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54"/>
        <w:gridCol w:w="4708"/>
        <w:gridCol w:w="4059"/>
      </w:tblGrid>
      <w:tr>
        <w:tblPrEx/>
        <w:trPr/>
        <w:tc>
          <w:tcPr>
            <w:tcW w:w="115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г. Пермь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4059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тарифная зона № _________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</w:tbl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30"/>
        <w:gridCol w:w="713"/>
        <w:gridCol w:w="873"/>
        <w:gridCol w:w="777"/>
        <w:gridCol w:w="992"/>
        <w:gridCol w:w="850"/>
        <w:gridCol w:w="1047"/>
        <w:gridCol w:w="1488"/>
        <w:gridCol w:w="1345"/>
        <w:gridCol w:w="15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33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№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71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Улица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Квартал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366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Количество заполненных платных парковочных мест*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4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Максимальное значение количества за</w:t>
            </w:r>
            <w:r>
              <w:rPr>
                <w:sz w:val="24"/>
                <w:szCs w:val="24"/>
                <w:lang w:eastAsia="zh-CN"/>
              </w:rPr>
              <w:t xml:space="preserve">полненн</w:t>
            </w:r>
            <w:r>
              <w:rPr>
                <w:sz w:val="24"/>
                <w:szCs w:val="24"/>
                <w:lang w:eastAsia="zh-CN"/>
              </w:rPr>
              <w:t xml:space="preserve">ых платных парковочных мест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3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Количество платных парковочных мест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50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Уровень максимальной за</w:t>
            </w:r>
            <w:r>
              <w:rPr>
                <w:sz w:val="24"/>
                <w:szCs w:val="24"/>
                <w:lang w:eastAsia="zh-CN"/>
              </w:rPr>
              <w:t xml:space="preserve">полняем</w:t>
            </w:r>
            <w:r>
              <w:rPr>
                <w:sz w:val="24"/>
                <w:szCs w:val="24"/>
                <w:lang w:eastAsia="zh-CN"/>
              </w:rPr>
              <w:t xml:space="preserve">ости парковочных мест, %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7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дата, время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количество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дата, время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04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количество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33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1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71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2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3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7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4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5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6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04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7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48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8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34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9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10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330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71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777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047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48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345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777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047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48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345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777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047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48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345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777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047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48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345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777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047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48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345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Итого</w:t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48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345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57" w:type="dxa"/>
              <w:right w:w="62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</w:r>
          </w:p>
        </w:tc>
      </w:tr>
    </w:tbl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21"/>
      </w:tblGrid>
      <w:tr>
        <w:tblPrEx/>
        <w:trPr/>
        <w:tc>
          <w:tcPr>
            <w:tcW w:w="992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Средства проведения мониторинга ________________________________________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Лицо, проводившее мониторинг: _________________________________________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ind w:left="4811" w:right="0" w:firstLine="291"/>
              <w:rPr>
                <w:sz w:val="28"/>
                <w:szCs w:val="28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(Ф.И.О., должность, подпись)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W w:w="9921" w:type="dxa"/>
            <w:textDirection w:val="lrTb"/>
            <w:noWrap w:val="false"/>
          </w:tcPr>
          <w:p>
            <w:pPr>
              <w:ind w:firstLine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--------------------------------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ind w:left="0" w:righ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* Количество граф определяется в зависимости от количества дней проведения мониторинга.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line="240" w:lineRule="exact"/>
        <w:tabs>
          <w:tab w:val="right" w:pos="99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tabs>
          <w:tab w:val="right" w:pos="99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tabs>
          <w:tab w:val="right" w:pos="99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567" w:bottom="1134" w:left="1417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7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Caption Char"/>
    <w:basedOn w:val="699"/>
    <w:link w:val="741"/>
    <w:uiPriority w:val="35"/>
    <w:rPr>
      <w:b/>
      <w:bCs/>
      <w:color w:val="4f81bd" w:themeColor="accent1"/>
      <w:sz w:val="18"/>
      <w:szCs w:val="18"/>
    </w:rPr>
  </w:style>
  <w:style w:type="paragraph" w:styleId="689" w:default="1">
    <w:name w:val="Normal"/>
    <w:qFormat/>
    <w:rPr>
      <w:lang w:eastAsia="ru-RU"/>
    </w:rPr>
  </w:style>
  <w:style w:type="paragraph" w:styleId="690">
    <w:name w:val="Heading 1"/>
    <w:basedOn w:val="689"/>
    <w:next w:val="689"/>
    <w:link w:val="718"/>
    <w:qFormat/>
    <w:pPr>
      <w:ind w:right="-1" w:firstLine="709"/>
      <w:jc w:val="both"/>
      <w:keepNext/>
      <w:outlineLvl w:val="0"/>
    </w:pPr>
    <w:rPr>
      <w:sz w:val="24"/>
    </w:rPr>
  </w:style>
  <w:style w:type="paragraph" w:styleId="691">
    <w:name w:val="Heading 2"/>
    <w:basedOn w:val="689"/>
    <w:next w:val="689"/>
    <w:link w:val="719"/>
    <w:qFormat/>
    <w:pPr>
      <w:ind w:right="-1"/>
      <w:jc w:val="both"/>
      <w:keepNext/>
      <w:outlineLvl w:val="1"/>
    </w:pPr>
    <w:rPr>
      <w:sz w:val="24"/>
    </w:rPr>
  </w:style>
  <w:style w:type="paragraph" w:styleId="692">
    <w:name w:val="Heading 3"/>
    <w:basedOn w:val="689"/>
    <w:next w:val="689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Heading 5 Char"/>
    <w:basedOn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Heading 6 Char"/>
    <w:basedOn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Heading 7 Char"/>
    <w:basedOn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699"/>
    <w:uiPriority w:val="10"/>
    <w:rPr>
      <w:sz w:val="48"/>
      <w:szCs w:val="48"/>
    </w:rPr>
  </w:style>
  <w:style w:type="character" w:styleId="712" w:customStyle="1">
    <w:name w:val="Subtitle Char"/>
    <w:basedOn w:val="699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Название объекта Знак"/>
    <w:basedOn w:val="699"/>
    <w:link w:val="741"/>
    <w:uiPriority w:val="35"/>
    <w:rPr>
      <w:b/>
      <w:bCs/>
      <w:color w:val="4f81bd" w:themeColor="accent1"/>
      <w:sz w:val="18"/>
      <w:szCs w:val="18"/>
    </w:rPr>
  </w:style>
  <w:style w:type="character" w:styleId="716" w:customStyle="1">
    <w:name w:val="Footnote Text Char"/>
    <w:uiPriority w:val="99"/>
    <w:rPr>
      <w:sz w:val="18"/>
    </w:rPr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link w:val="690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691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692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689"/>
    <w:uiPriority w:val="34"/>
    <w:qFormat/>
    <w:pPr>
      <w:contextualSpacing/>
      <w:ind w:left="720"/>
    </w:pPr>
  </w:style>
  <w:style w:type="paragraph" w:styleId="728">
    <w:name w:val="No Spacing"/>
    <w:uiPriority w:val="1"/>
    <w:qFormat/>
  </w:style>
  <w:style w:type="paragraph" w:styleId="729">
    <w:name w:val="Title"/>
    <w:basedOn w:val="689"/>
    <w:next w:val="689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Заголовок Знак"/>
    <w:link w:val="729"/>
    <w:uiPriority w:val="10"/>
    <w:rPr>
      <w:sz w:val="48"/>
      <w:szCs w:val="48"/>
    </w:rPr>
  </w:style>
  <w:style w:type="paragraph" w:styleId="731">
    <w:name w:val="Subtitle"/>
    <w:basedOn w:val="689"/>
    <w:next w:val="689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689"/>
    <w:next w:val="689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89"/>
    <w:next w:val="689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89"/>
    <w:link w:val="892"/>
    <w:uiPriority w:val="99"/>
    <w:pPr>
      <w:tabs>
        <w:tab w:val="center" w:pos="4153" w:leader="none"/>
        <w:tab w:val="right" w:pos="8306" w:leader="none"/>
      </w:tabs>
    </w:pPr>
  </w:style>
  <w:style w:type="character" w:styleId="738" w:customStyle="1">
    <w:name w:val="Header Char"/>
    <w:uiPriority w:val="99"/>
  </w:style>
  <w:style w:type="paragraph" w:styleId="739">
    <w:name w:val="Footer"/>
    <w:basedOn w:val="689"/>
    <w:link w:val="742"/>
    <w:pPr>
      <w:tabs>
        <w:tab w:val="center" w:pos="4153" w:leader="none"/>
        <w:tab w:val="right" w:pos="8306" w:leader="none"/>
      </w:tabs>
    </w:pPr>
  </w:style>
  <w:style w:type="character" w:styleId="740" w:customStyle="1">
    <w:name w:val="Footer Char"/>
    <w:uiPriority w:val="99"/>
  </w:style>
  <w:style w:type="paragraph" w:styleId="741">
    <w:name w:val="Caption"/>
    <w:basedOn w:val="689"/>
    <w:next w:val="689"/>
    <w:link w:val="71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2" w:customStyle="1">
    <w:name w:val="Нижний колонтитул Знак"/>
    <w:link w:val="739"/>
    <w:uiPriority w:val="99"/>
  </w:style>
  <w:style w:type="table" w:styleId="743">
    <w:name w:val="Table Grid"/>
    <w:basedOn w:val="700"/>
    <w:tblPr/>
  </w:style>
  <w:style w:type="table" w:styleId="74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/>
      <w:u w:val="single"/>
    </w:rPr>
  </w:style>
  <w:style w:type="paragraph" w:styleId="870">
    <w:name w:val="footnote text"/>
    <w:basedOn w:val="689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689"/>
    <w:link w:val="874"/>
    <w:uiPriority w:val="99"/>
    <w:semiHidden/>
    <w:unhideWhenUsed/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689"/>
    <w:next w:val="689"/>
    <w:uiPriority w:val="39"/>
    <w:unhideWhenUsed/>
    <w:pPr>
      <w:spacing w:after="57"/>
    </w:pPr>
  </w:style>
  <w:style w:type="paragraph" w:styleId="877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78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79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80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81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82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83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84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89"/>
    <w:next w:val="689"/>
    <w:uiPriority w:val="99"/>
    <w:unhideWhenUsed/>
  </w:style>
  <w:style w:type="paragraph" w:styleId="887">
    <w:name w:val="Body Text"/>
    <w:basedOn w:val="689"/>
    <w:link w:val="896"/>
    <w:pPr>
      <w:ind w:right="3117"/>
    </w:pPr>
    <w:rPr>
      <w:rFonts w:ascii="Courier New" w:hAnsi="Courier New"/>
      <w:sz w:val="26"/>
    </w:rPr>
  </w:style>
  <w:style w:type="paragraph" w:styleId="888">
    <w:name w:val="Body Text Indent"/>
    <w:basedOn w:val="689"/>
    <w:pPr>
      <w:ind w:right="-1"/>
      <w:jc w:val="both"/>
    </w:pPr>
    <w:rPr>
      <w:sz w:val="26"/>
    </w:rPr>
  </w:style>
  <w:style w:type="character" w:styleId="889">
    <w:name w:val="page number"/>
    <w:basedOn w:val="699"/>
  </w:style>
  <w:style w:type="paragraph" w:styleId="890">
    <w:name w:val="Balloon Text"/>
    <w:basedOn w:val="689"/>
    <w:link w:val="891"/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link w:val="890"/>
    <w:rPr>
      <w:rFonts w:ascii="Segoe UI" w:hAnsi="Segoe UI" w:cs="Segoe UI"/>
      <w:sz w:val="18"/>
      <w:szCs w:val="18"/>
    </w:rPr>
  </w:style>
  <w:style w:type="character" w:styleId="892" w:customStyle="1">
    <w:name w:val="Верхний колонтитул Знак"/>
    <w:link w:val="737"/>
    <w:uiPriority w:val="99"/>
  </w:style>
  <w:style w:type="paragraph" w:styleId="893" w:customStyle="1">
    <w:name w:val="Форма"/>
    <w:rPr>
      <w:sz w:val="28"/>
      <w:szCs w:val="28"/>
      <w:lang w:eastAsia="ru-RU"/>
    </w:rPr>
  </w:style>
  <w:style w:type="paragraph" w:styleId="894" w:customStyle="1">
    <w:name w:val="ConsPlusNormal"/>
    <w:link w:val="897"/>
    <w:pPr>
      <w:widowControl w:val="off"/>
    </w:pPr>
    <w:rPr>
      <w:sz w:val="24"/>
      <w:szCs w:val="24"/>
      <w:lang w:eastAsia="ru-RU"/>
    </w:rPr>
  </w:style>
  <w:style w:type="paragraph" w:styleId="895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896" w:customStyle="1">
    <w:name w:val="Основной текст Знак"/>
    <w:link w:val="887"/>
    <w:rPr>
      <w:rFonts w:ascii="Courier New" w:hAnsi="Courier New"/>
      <w:sz w:val="26"/>
    </w:rPr>
  </w:style>
  <w:style w:type="character" w:styleId="897" w:customStyle="1">
    <w:name w:val="ConsPlusNormal Знак"/>
    <w:link w:val="894"/>
    <w:rPr>
      <w:sz w:val="24"/>
      <w:szCs w:val="24"/>
    </w:rPr>
  </w:style>
  <w:style w:type="paragraph" w:styleId="898" w:customStyle="1">
    <w:name w:val="Con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899" w:customStyle="1">
    <w:name w:val="Основной шрифт абзаца3"/>
  </w:style>
  <w:style w:type="paragraph" w:styleId="900">
    <w:name w:val="Normal (Web)"/>
    <w:basedOn w:val="68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01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0999&amp;dst=263" TargetMode="External"/><Relationship Id="rId13" Type="http://schemas.openxmlformats.org/officeDocument/2006/relationships/hyperlink" Target="https://login.consultant.ru/link/?req=doc&amp;base=LAW&amp;n=500026&amp;dst=27" TargetMode="External"/><Relationship Id="rId14" Type="http://schemas.openxmlformats.org/officeDocument/2006/relationships/hyperlink" Target="https://login.consultant.ru/link/?req=doc&amp;base=RLAW368&amp;n=196725&amp;dst=100113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</cp:revision>
  <dcterms:created xsi:type="dcterms:W3CDTF">2025-07-31T06:52:00Z</dcterms:created>
  <dcterms:modified xsi:type="dcterms:W3CDTF">2025-08-27T11:34:28Z</dcterms:modified>
  <cp:version>1048576</cp:version>
</cp:coreProperties>
</file>