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Методику расчета стоимости </w:t>
      </w:r>
      <w:r>
        <w:rPr>
          <w:b/>
          <w:sz w:val="28"/>
          <w:szCs w:val="28"/>
        </w:rPr>
        <w:br/>
        <w:t xml:space="preserve">работ по созданию и содержанию мест (площадок) накопления </w:t>
      </w:r>
      <w:r>
        <w:rPr>
          <w:b/>
          <w:sz w:val="28"/>
          <w:szCs w:val="28"/>
        </w:rPr>
        <w:br/>
        <w:t xml:space="preserve">твердых коммунальных отходов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22.05.2020 № 450 «Об утверждении Методики расчета стоимости работ по созданию и содержанию мест </w:t>
      </w:r>
      <w:r>
        <w:rPr>
          <w:b/>
          <w:sz w:val="28"/>
          <w:szCs w:val="28"/>
        </w:rPr>
        <w:br/>
        <w:t xml:space="preserve">(площадок) накопления твердых коммунальных отходов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территории города Перми,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размера стоимости </w:t>
      </w:r>
      <w:r>
        <w:rPr>
          <w:b/>
          <w:sz w:val="28"/>
          <w:szCs w:val="28"/>
        </w:rPr>
        <w:t xml:space="preserve">работ </w:t>
      </w:r>
      <w:r>
        <w:rPr>
          <w:b/>
          <w:sz w:val="28"/>
          <w:szCs w:val="28"/>
        </w:rPr>
        <w:br/>
        <w:t xml:space="preserve">по содержанию мест (площадок) </w:t>
      </w:r>
      <w:r>
        <w:rPr>
          <w:b/>
          <w:sz w:val="28"/>
          <w:szCs w:val="28"/>
        </w:rPr>
        <w:br/>
        <w:t xml:space="preserve">накопления твердых коммунальных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отходов на территории города </w:t>
      </w:r>
      <w:r>
        <w:rPr>
          <w:b/>
          <w:sz w:val="28"/>
          <w:szCs w:val="28"/>
        </w:rPr>
        <w:br/>
        <w:t xml:space="preserve">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ции», от</w:t>
      </w:r>
      <w:r>
        <w:rPr>
          <w:rFonts w:ascii="Times New Roman" w:hAnsi="Times New Roman" w:cs="Times New Roman"/>
          <w:sz w:val="28"/>
          <w:szCs w:val="28"/>
        </w:rPr>
        <w:t xml:space="preserve"> 20 марта 2025 г. № 33-ФЗ «Об общих принципах организации местного самоуправления в единой системе публичной власти»,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города Перми, решением Пермской городской Думы от 28 августа 2007 г. № 185 «Об утверждении Положения о бюджете и бю</w:t>
      </w:r>
      <w:r>
        <w:rPr>
          <w:rFonts w:ascii="Times New Roman" w:hAnsi="Times New Roman" w:cs="Times New Roman"/>
          <w:sz w:val="28"/>
          <w:szCs w:val="28"/>
        </w:rPr>
        <w:t xml:space="preserve">джетном процессе в городе Перми», в целях актуализации правовых актов 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Методику расчета стоимости работ по созданию и содержанию мест (площадок) накопления твердых 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отходов на территории города Перми, утвержденную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22 мая 2020 г. № 450 «Об утверждении Методики расчета стоимости работ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созданию и содержанию мест (площадок) накопления твердых коммунальных отходов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города Перми, размера стоимости работ по содержанию мест (площадок) накопления твердых коммунальных отходов на территории города Перми» (в ред. от 04.08.2023 № 671, от 25.10.2023 № 1174, от 09.07.2024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576, от 11.10.2024 № 883),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шестой раздела 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«постановление Правительства Российской Федерации от 07 марта 2025 г. № 293 «О порядке обращения с твердыми коммунальными отходами»;»;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4.4 после слова «установленных» 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«и планируемых к установке»;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5.2: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=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содерж.1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1 </w:t>
      </w:r>
      <w:r>
        <w:rPr>
          <w:rFonts w:eastAsia="Calibri"/>
          <w:sz w:val="28"/>
          <w:szCs w:val="28"/>
          <w:lang w:eastAsia="en-US"/>
        </w:rPr>
        <w:t xml:space="preserve">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содерж.2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содерж.3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содерж.4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+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содерж.5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содерж.6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содерж.7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7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содерж.8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8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содерж.9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9</w:t>
      </w:r>
      <w:r>
        <w:rPr>
          <w:rFonts w:eastAsia="Calibri"/>
          <w:sz w:val="28"/>
          <w:szCs w:val="28"/>
          <w:lang w:eastAsia="en-US"/>
        </w:rPr>
        <w:t xml:space="preserve"> +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содерж.10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10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содерж.11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11</w:t>
      </w:r>
      <w:r>
        <w:rPr>
          <w:rFonts w:eastAsia="Calibri"/>
          <w:sz w:val="28"/>
          <w:szCs w:val="28"/>
          <w:lang w:eastAsia="en-US"/>
        </w:rPr>
        <w:t xml:space="preserve">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содерж.12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12</w:t>
      </w:r>
      <w:r>
        <w:rPr>
          <w:rFonts w:eastAsia="Calibri"/>
          <w:sz w:val="28"/>
          <w:szCs w:val="28"/>
          <w:lang w:eastAsia="en-US"/>
        </w:rPr>
        <w:t xml:space="preserve"> + 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содерж.13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val="en-US" w:eastAsia="en-US"/>
        </w:rPr>
        <w:t xml:space="preserve">n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13 </w:t>
      </w:r>
      <w:r>
        <w:rPr>
          <w:rFonts w:eastAsia="Calibri"/>
          <w:sz w:val="28"/>
          <w:szCs w:val="28"/>
          <w:lang w:eastAsia="en-US"/>
        </w:rPr>
        <w:t xml:space="preserve">+ 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об.мус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где»;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1.3.2. дополнить абзацами следующего содержания: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об.мус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– стоимость оборудования мест (площадок) накопления твердых коммунальных отходов мусорос</w:t>
      </w:r>
      <w:r>
        <w:rPr>
          <w:rFonts w:eastAsia="Calibri"/>
          <w:sz w:val="28"/>
          <w:szCs w:val="28"/>
          <w:lang w:eastAsia="en-US"/>
        </w:rPr>
        <w:t xml:space="preserve">борниками определяется по формуле: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об.мус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= </w:t>
      </w:r>
      <w:r>
        <w:rPr>
          <w:rFonts w:eastAsia="Calibri"/>
          <w:sz w:val="28"/>
          <w:szCs w:val="28"/>
          <w:lang w:eastAsia="en-US"/>
        </w:rPr>
        <w:t xml:space="preserve">К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мус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х 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мус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где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мус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– количество мусоросборников, требующих замены на существующих местах (площадках) накопления твердых коммунальных отходов и (или) установки на местах (площадках) накопления твердых ко</w:t>
      </w:r>
      <w:r>
        <w:rPr>
          <w:rFonts w:eastAsia="Calibri"/>
          <w:sz w:val="28"/>
          <w:szCs w:val="28"/>
          <w:lang w:eastAsia="en-US"/>
        </w:rPr>
        <w:t xml:space="preserve">ммунальных отходов при их создании или обустройстве с изменением типа установленных мусоросборников;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мус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– стоимость мусоросборников, определенная на основании коммерческих предложений или в соответствии с исполненными муниципальными контрактами.».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</w:t>
      </w:r>
      <w:r>
        <w:rPr>
          <w:sz w:val="28"/>
          <w:szCs w:val="28"/>
        </w:rPr>
        <w:t xml:space="preserve">стоящее постановление вступает в силу с 01 сентября 2025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</w:t>
      </w:r>
      <w:r>
        <w:rPr>
          <w:sz w:val="28"/>
          <w:szCs w:val="28"/>
        </w:rPr>
        <w:t xml:space="preserve">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</w:t>
      </w:r>
      <w:r>
        <w:rPr>
          <w:sz w:val="28"/>
          <w:szCs w:val="28"/>
        </w:rPr>
        <w:t xml:space="preserve">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</w:t>
      </w:r>
      <w:r>
        <w:rPr>
          <w:sz w:val="28"/>
          <w:szCs w:val="28"/>
        </w:rPr>
        <w:t xml:space="preserve">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</w:t>
      </w:r>
      <w:r>
        <w:rPr>
          <w:rFonts w:eastAsia="Calibri"/>
          <w:sz w:val="28"/>
          <w:szCs w:val="28"/>
        </w:rPr>
        <w:t xml:space="preserve"> Перми Балахнина А.А.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993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7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7"/>
    <w:link w:val="741"/>
    <w:uiPriority w:val="10"/>
    <w:rPr>
      <w:sz w:val="48"/>
      <w:szCs w:val="48"/>
    </w:rPr>
  </w:style>
  <w:style w:type="character" w:styleId="711">
    <w:name w:val="Subtitle Char"/>
    <w:basedOn w:val="727"/>
    <w:link w:val="743"/>
    <w:uiPriority w:val="11"/>
    <w:rPr>
      <w:sz w:val="24"/>
      <w:szCs w:val="24"/>
    </w:rPr>
  </w:style>
  <w:style w:type="character" w:styleId="712">
    <w:name w:val="Quote Char"/>
    <w:link w:val="745"/>
    <w:uiPriority w:val="29"/>
    <w:rPr>
      <w:i/>
    </w:rPr>
  </w:style>
  <w:style w:type="character" w:styleId="713">
    <w:name w:val="Intense Quote Char"/>
    <w:link w:val="747"/>
    <w:uiPriority w:val="30"/>
    <w:rPr>
      <w:i/>
    </w:rPr>
  </w:style>
  <w:style w:type="character" w:styleId="714">
    <w:name w:val="Caption Char"/>
    <w:basedOn w:val="727"/>
    <w:link w:val="753"/>
    <w:uiPriority w:val="35"/>
    <w:rPr>
      <w:b/>
      <w:bCs/>
      <w:color w:val="4f81bd" w:themeColor="accent1"/>
      <w:sz w:val="18"/>
      <w:szCs w:val="18"/>
    </w:rPr>
  </w:style>
  <w:style w:type="character" w:styleId="715">
    <w:name w:val="Footnote Text Char"/>
    <w:link w:val="882"/>
    <w:uiPriority w:val="99"/>
    <w:rPr>
      <w:sz w:val="18"/>
    </w:rPr>
  </w:style>
  <w:style w:type="character" w:styleId="716">
    <w:name w:val="Endnote Text Char"/>
    <w:link w:val="885"/>
    <w:uiPriority w:val="99"/>
    <w:rPr>
      <w:sz w:val="20"/>
    </w:rPr>
  </w:style>
  <w:style w:type="paragraph" w:styleId="717" w:default="1">
    <w:name w:val="Normal"/>
    <w:qFormat/>
    <w:rPr>
      <w:lang w:eastAsia="ru-RU"/>
    </w:rPr>
  </w:style>
  <w:style w:type="paragraph" w:styleId="718">
    <w:name w:val="Heading 1"/>
    <w:basedOn w:val="717"/>
    <w:next w:val="717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1">
    <w:name w:val="Title"/>
    <w:basedOn w:val="717"/>
    <w:next w:val="71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link w:val="741"/>
    <w:uiPriority w:val="10"/>
    <w:rPr>
      <w:sz w:val="48"/>
      <w:szCs w:val="48"/>
    </w:rPr>
  </w:style>
  <w:style w:type="paragraph" w:styleId="743">
    <w:name w:val="Subtitle"/>
    <w:basedOn w:val="717"/>
    <w:next w:val="71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7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Header Char"/>
    <w:uiPriority w:val="99"/>
  </w:style>
  <w:style w:type="paragraph" w:styleId="751">
    <w:name w:val="Footer"/>
    <w:basedOn w:val="717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17"/>
    <w:next w:val="717"/>
    <w:link w:val="75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4" w:customStyle="1">
    <w:name w:val="Название объекта Знак"/>
    <w:link w:val="753"/>
    <w:uiPriority w:val="35"/>
    <w:rPr>
      <w:b/>
      <w:bCs/>
      <w:color w:val="4f81bd" w:themeColor="accent1"/>
      <w:sz w:val="18"/>
      <w:szCs w:val="18"/>
    </w:rPr>
  </w:style>
  <w:style w:type="table" w:styleId="755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7"/>
    <w:next w:val="717"/>
    <w:uiPriority w:val="99"/>
    <w:unhideWhenUsed/>
  </w:style>
  <w:style w:type="paragraph" w:styleId="899">
    <w:name w:val="Body Text"/>
    <w:basedOn w:val="717"/>
    <w:link w:val="923"/>
    <w:pPr>
      <w:ind w:right="3117"/>
    </w:pPr>
    <w:rPr>
      <w:rFonts w:ascii="Courier New" w:hAnsi="Courier New"/>
      <w:sz w:val="26"/>
    </w:rPr>
  </w:style>
  <w:style w:type="paragraph" w:styleId="900">
    <w:name w:val="Body Text Indent"/>
    <w:basedOn w:val="717"/>
    <w:pPr>
      <w:ind w:right="-1"/>
      <w:jc w:val="both"/>
    </w:pPr>
    <w:rPr>
      <w:sz w:val="26"/>
    </w:rPr>
  </w:style>
  <w:style w:type="character" w:styleId="901">
    <w:name w:val="page number"/>
    <w:basedOn w:val="727"/>
  </w:style>
  <w:style w:type="paragraph" w:styleId="902">
    <w:name w:val="Balloon Text"/>
    <w:basedOn w:val="717"/>
    <w:link w:val="903"/>
    <w:uiPriority w:val="99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link w:val="902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Верхний колонтитул Знак"/>
    <w:link w:val="749"/>
    <w:uiPriority w:val="99"/>
  </w:style>
  <w:style w:type="numbering" w:styleId="905" w:customStyle="1">
    <w:name w:val="Нет списка1"/>
    <w:next w:val="729"/>
    <w:uiPriority w:val="99"/>
    <w:semiHidden/>
    <w:unhideWhenUsed/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  <w:lang w:eastAsia="ru-RU"/>
    </w:rPr>
  </w:style>
  <w:style w:type="character" w:styleId="923" w:customStyle="1">
    <w:name w:val="Основной текст Знак"/>
    <w:link w:val="899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  <w:lang w:eastAsia="ru-RU"/>
    </w:rPr>
  </w:style>
  <w:style w:type="numbering" w:styleId="925" w:customStyle="1">
    <w:name w:val="Нет списка11"/>
    <w:next w:val="729"/>
    <w:uiPriority w:val="99"/>
    <w:semiHidden/>
    <w:unhideWhenUsed/>
  </w:style>
  <w:style w:type="numbering" w:styleId="926" w:customStyle="1">
    <w:name w:val="Нет списка111"/>
    <w:next w:val="729"/>
    <w:uiPriority w:val="99"/>
    <w:semiHidden/>
    <w:unhideWhenUsed/>
  </w:style>
  <w:style w:type="paragraph" w:styleId="927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29"/>
    <w:uiPriority w:val="99"/>
    <w:semiHidden/>
    <w:unhideWhenUsed/>
  </w:style>
  <w:style w:type="numbering" w:styleId="975" w:customStyle="1">
    <w:name w:val="Нет списка3"/>
    <w:next w:val="729"/>
    <w:uiPriority w:val="99"/>
    <w:semiHidden/>
    <w:unhideWhenUsed/>
  </w:style>
  <w:style w:type="paragraph" w:styleId="976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29"/>
    <w:uiPriority w:val="99"/>
    <w:semiHidden/>
    <w:unhideWhenUsed/>
  </w:style>
  <w:style w:type="character" w:styleId="980" w:customStyle="1">
    <w:name w:val="Нижний колонтитул Знак"/>
    <w:link w:val="751"/>
    <w:uiPriority w:val="99"/>
  </w:style>
  <w:style w:type="paragraph" w:styleId="981" w:customStyle="1">
    <w:name w:val="style5"/>
    <w:basedOn w:val="717"/>
    <w:pPr>
      <w:spacing w:before="100" w:beforeAutospacing="1" w:after="100" w:afterAutospacing="1"/>
    </w:pPr>
    <w:rPr>
      <w:rFonts w:ascii="Arial" w:hAnsi="Arial" w:cs="Arial"/>
    </w:rPr>
  </w:style>
  <w:style w:type="character" w:styleId="982">
    <w:name w:val="annotation reference"/>
    <w:rPr>
      <w:sz w:val="16"/>
      <w:szCs w:val="16"/>
    </w:rPr>
  </w:style>
  <w:style w:type="paragraph" w:styleId="983">
    <w:name w:val="annotation text"/>
    <w:basedOn w:val="717"/>
    <w:link w:val="984"/>
  </w:style>
  <w:style w:type="character" w:styleId="984" w:customStyle="1">
    <w:name w:val="Текст примечания Знак"/>
    <w:basedOn w:val="727"/>
    <w:link w:val="983"/>
  </w:style>
  <w:style w:type="paragraph" w:styleId="985">
    <w:name w:val="annotation subject"/>
    <w:basedOn w:val="983"/>
    <w:next w:val="983"/>
    <w:link w:val="986"/>
    <w:rPr>
      <w:b/>
      <w:bCs/>
    </w:rPr>
  </w:style>
  <w:style w:type="character" w:styleId="986" w:customStyle="1">
    <w:name w:val="Тема примечания Знак"/>
    <w:link w:val="985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2025-08-11T09:49:00Z</dcterms:created>
  <dcterms:modified xsi:type="dcterms:W3CDTF">2025-08-27T11:46:18Z</dcterms:modified>
  <cp:version>983040</cp:version>
</cp:coreProperties>
</file>