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3"/>
        <w:spacing w:before="120" w:line="240" w:lineRule="auto"/>
        <w:rPr>
          <w:sz w:val="28"/>
          <w:szCs w:val="28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4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4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29.08.2025                                                                                                                № 151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  <w:t xml:space="preserve">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Правила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</w:t>
      </w:r>
      <w:r>
        <w:rPr>
          <w:b/>
          <w:sz w:val="28"/>
          <w:szCs w:val="28"/>
        </w:rPr>
        <w:t xml:space="preserve"> решением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 w:type="textWrapping" w:clear="all"/>
        <w:t xml:space="preserve">от 15.12.2020 № 277»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hyperlink r:id="rId15" w:tooltip="consultantplus://offline/ref=CB6E6B85655EE67F5F788466A73EA6C12C09CE4D38592A10AFC6B64F40AE0B6A30CD7C4C3E64BC06E96836DF42b7r6G" w:history="1">
        <w:r>
          <w:rPr>
            <w:rStyle w:val="902"/>
            <w:color w:val="000000"/>
            <w:sz w:val="28"/>
            <w:szCs w:val="28"/>
            <w:u w:val="none"/>
          </w:rPr>
          <w:t xml:space="preserve">законами</w:t>
        </w:r>
      </w:hyperlink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20 марта 2025 г. № № 33-ФЗ «Об общих принципах организации местного самоуправления в единой системе публичной власти», </w:t>
      </w:r>
      <w:hyperlink r:id="rId16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03 февраля 2022 г. № 101 «Об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ждении Правил использования федеральной государственной информационной системы «Единый портал государственных и муниципальных</w:t>
      </w:r>
      <w:r>
        <w:rPr>
          <w:sz w:val="28"/>
          <w:szCs w:val="28"/>
        </w:rPr>
        <w:t xml:space="preserve"> услуг (функций)» в целях организации и проведения публичных слушаний», </w:t>
      </w:r>
      <w:hyperlink r:id="rId17" w:tooltip="consultantplus://offline/ref=CB6E6B85655EE67F5F789A6BB152FBCA200295483A5D2747F294B0181FFE0D3F628D22157D27AF07EF7634DD42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8" w:tooltip="consultantplus://offline/ref=CB6E6B85655EE67F5F789A6BB152FBCA200295483A5D2742F69BB0181FFE0D3F628D22157D27AF07EF7635DD41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публичных слушаниях в городе Перми, утвержденным решением Пермской городской Думы от 22 февраля 2005 г. № 32, </w:t>
      </w:r>
      <w:hyperlink r:id="rId19" w:tooltip="consultantplus://offline/ref=CB6E6B85655EE67F5F789A6BB152FBCA200295483A5E294FF296B0181FFE0D3F628D22157D27AF07EF7634DE427F3A40E1BF199EC1E7934FDCC08F90b9r2G" w:history="1">
        <w:r>
          <w:rPr>
            <w:rStyle w:val="902"/>
            <w:color w:val="auto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</w:t>
      </w:r>
      <w:hyperlink w:tooltip="#Par84" w:anchor="Par84" w:history="1">
        <w:r>
          <w:rPr>
            <w:rStyle w:val="902"/>
            <w:color w:val="auto"/>
            <w:sz w:val="28"/>
            <w:szCs w:val="28"/>
            <w:u w:val="none"/>
          </w:rPr>
          <w:t xml:space="preserve">проекта</w:t>
        </w:r>
      </w:hyperlink>
      <w:r>
        <w:rPr>
          <w:sz w:val="28"/>
          <w:szCs w:val="28"/>
        </w:rPr>
        <w:t xml:space="preserve">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sz w:val="28"/>
          <w:szCs w:val="28"/>
        </w:rPr>
        <w:br/>
        <w:t xml:space="preserve">от 15.12.2020 № 277» (далее – Проект) согласно приложению 1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организации проведения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слушаний по обсуждению проекта решения Пермской городской Думы </w:t>
      </w:r>
      <w:r>
        <w:rPr>
          <w:sz w:val="28"/>
          <w:szCs w:val="28"/>
        </w:rPr>
        <w:br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</w:t>
      </w:r>
      <w:hyperlink w:tooltip="#Par50" w:anchor="Par50" w:history="1">
        <w:r>
          <w:rPr>
            <w:rStyle w:val="902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организационного комитета по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</w:t>
      </w:r>
      <w:r>
        <w:rPr>
          <w:sz w:val="28"/>
          <w:szCs w:val="28"/>
        </w:rPr>
        <w:t xml:space="preserve">оведения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(далее – Организационный комитет).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публичных слушаний – не менее 1 месяца </w:t>
      </w:r>
      <w:r>
        <w:rPr>
          <w:sz w:val="28"/>
          <w:szCs w:val="28"/>
        </w:rPr>
        <w:br w:type="textWrapping" w:clear="all"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проведение собрания участников публичных слушаний </w:t>
      </w:r>
      <w:r>
        <w:rPr>
          <w:sz w:val="28"/>
          <w:szCs w:val="28"/>
        </w:rPr>
        <w:br w:type="textWrapping" w:clear="all"/>
        <w:t xml:space="preserve">по обсуждению Проекта на 23 сентября 2025 г. в 18.30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адресу: 614015, </w:t>
      </w:r>
      <w:r>
        <w:rPr>
          <w:sz w:val="28"/>
          <w:szCs w:val="28"/>
        </w:rPr>
        <w:br w:type="textWrapping" w:clear="all"/>
        <w:t xml:space="preserve">г. Пермь, ул. Ленина, д. 23, зал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Организационному комитету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размещение Проекта и информационных материалов к нему на офиц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муниципального образования город Пермь в информационно-телекоммуникационной сети Интернет </w:t>
      </w:r>
      <w:hyperlink r:id="rId20" w:tooltip="file:///C:\Users\Shchur-TV\Downloads\www.gorodperm.ru" w:history="1">
        <w:r>
          <w:rPr>
            <w:rFonts w:ascii="Times New Roman" w:hAnsi="Times New Roman" w:cs="Times New Roman"/>
            <w:sz w:val="28"/>
            <w:szCs w:val="28"/>
          </w:rPr>
          <w:t xml:space="preserve">www.gorodperm.ru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сайт), в печатном средстве массовой информации «Официальный бюллетень 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муниципального образования город Пермь», </w:t>
      </w:r>
      <w:r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 (функций)» (далее – Единый портал) 09 сентября 2025 г.;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Par15"/>
      <w:r/>
      <w:bookmarkEnd w:id="0"/>
      <w:r>
        <w:rPr>
          <w:sz w:val="28"/>
          <w:szCs w:val="28"/>
        </w:rPr>
        <w:t xml:space="preserve">6.2. открытие и проведение экспозиции Проекта и информационных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к нему (далее – экспозиция) с 10 сентября 2025 г. по 24 сентября</w:t>
      </w:r>
      <w:r>
        <w:rPr>
          <w:sz w:val="28"/>
          <w:szCs w:val="28"/>
        </w:rPr>
        <w:br/>
        <w:t xml:space="preserve">2025 г.: понедельник-четверг – с 09.00 час. до 18.00 час., пятница – с 09.00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27,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112,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экономики и промышленной политики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консультирование посетителей экспозиции в часы работы экспозиции по адресу, указанному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направление от Главы города Перми в Пермскую городскую Думу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проводимых публичных слушаниях с приложением настоящего </w:t>
      </w:r>
      <w:r>
        <w:rPr>
          <w:sz w:val="28"/>
          <w:szCs w:val="28"/>
        </w:rPr>
        <w:br/>
        <w:t xml:space="preserve">постановления, Проекта и информационных материалов к нему не позднее </w:t>
      </w:r>
      <w:r>
        <w:rPr>
          <w:sz w:val="28"/>
          <w:szCs w:val="28"/>
        </w:rPr>
        <w:br w:type="textWrapping" w:clear="all"/>
        <w:t xml:space="preserve">15 сентября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проведение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своевременное оформление протокола публичных слушаний,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ку и опубликование заключения о результатах публичных слушаний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>
        <w:rPr>
          <w:sz w:val="28"/>
          <w:szCs w:val="28"/>
        </w:rPr>
        <w:br/>
        <w:t xml:space="preserve">на Официальном сайте,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предложения и замечания по Проекту принимаются </w:t>
      </w:r>
      <w:r>
        <w:rPr>
          <w:sz w:val="28"/>
          <w:szCs w:val="28"/>
        </w:rPr>
        <w:br w:type="textWrapping" w:clear="all"/>
        <w:t xml:space="preserve">от участников публичных слушаний, представивших в целях идентификации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в соответствии с </w:t>
      </w:r>
      <w:hyperlink r:id="rId21" w:tooltip="consultantplus://offline/ref=CB6E6B85655EE67F5F789A6BB152FBCA200295483A5E294FF296B0181FFE0D3F628D22157D27AF07EF7634DE48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пунктом 1.5</w:t>
        </w:r>
      </w:hyperlink>
      <w:r>
        <w:rPr>
          <w:sz w:val="28"/>
          <w:szCs w:val="28"/>
        </w:rPr>
        <w:t xml:space="preserve"> Положения о порядке организации </w:t>
      </w:r>
      <w:r>
        <w:rPr>
          <w:sz w:val="28"/>
          <w:szCs w:val="28"/>
        </w:rPr>
        <w:br w:type="textWrapping" w:clear="all"/>
        <w:t xml:space="preserve">и проведения публичных слушаний по обсуждению </w:t>
      </w:r>
      <w:r>
        <w:rPr>
          <w:sz w:val="28"/>
          <w:szCs w:val="28"/>
        </w:rPr>
        <w:t xml:space="preserve">проекта правил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территории города</w:t>
      </w:r>
      <w:r>
        <w:rPr>
          <w:sz w:val="28"/>
          <w:szCs w:val="28"/>
        </w:rPr>
        <w:t xml:space="preserve"> Перми, утвержденного решением Пермской городской Думы от 26 марта 2019 г. № 57: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2" w:tooltip="consultantplus://offline/ref=CB6E6B85655EE67F5F789A6BB152FBCA200295483A5D2743F49AB0181FFE0D3F628D22157D27AF07EF7634D942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или устно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3" w:tooltip="consultantplus://offline/ref=CB6E6B85655EE67F5F789A6BB152FBCA200295483A5D2743F49AB0181FFE0D3F628D22157D27AF07EF7634D9427F3A40E1BF199EC1E7934FDCC08F90b9r2G" w:history="1">
        <w:r>
          <w:rPr>
            <w:rStyle w:val="902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в Организационный комитет по адресу: 614015, г. Пермь, ул. Сибирская,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д. 27,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112 либо в электронном виде посредством заполнения электронной формы на официальном сайте муниципального образования город Пермь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Интернет в разделе «Гражд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нам/Интернет-приемная/Предложения к публичным слушаниям» (электронный адрес: https://reception.gorodperm.ru/) в период с 10</w:t>
      </w:r>
      <w:r>
        <w:rPr>
          <w:sz w:val="28"/>
          <w:szCs w:val="28"/>
        </w:rPr>
        <w:t xml:space="preserve"> сентября 2025 г. по 24 сентября </w:t>
      </w:r>
      <w:r>
        <w:rPr>
          <w:sz w:val="28"/>
          <w:szCs w:val="28"/>
        </w:rPr>
        <w:br/>
        <w:t xml:space="preserve">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посредством Единого портала в случае, если участники публичных слушаний имеют подтвержденную учетную запись в федеральной государственной информационной системе «Единая система идентификации </w:t>
      </w:r>
      <w:r>
        <w:rPr>
          <w:sz w:val="28"/>
          <w:szCs w:val="28"/>
        </w:rPr>
        <w:br/>
        <w:t xml:space="preserve">и аутент</w:t>
      </w:r>
      <w:r>
        <w:rPr>
          <w:sz w:val="28"/>
          <w:szCs w:val="28"/>
        </w:rPr>
        <w:t xml:space="preserve">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 период с 10 сентября 2025 г. по 24 сентября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учета посетителей экспозиции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в период проведения экспозиции в сроки, указанные в </w:t>
      </w:r>
      <w:hyperlink w:tooltip="#Par15" w:anchor="Par15" w:history="1">
        <w:r>
          <w:rPr>
            <w:rStyle w:val="902"/>
            <w:color w:val="000000"/>
            <w:sz w:val="28"/>
            <w:szCs w:val="28"/>
            <w:u w:val="none"/>
          </w:rPr>
          <w:t xml:space="preserve">пункте 6.2</w:t>
        </w:r>
      </w:hyperlink>
      <w:r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ществляется с учетом требований, установленных Федеральным </w:t>
      </w:r>
      <w:hyperlink r:id="rId24" w:tooltip="consultantplus://offline/ref=CB6E6B85655EE67F5F788466A73EA6C12B01C24432582A10AFC6B64F40AE0B6A30CD7C4C3E64BC06E96836DF42b7r6G" w:history="1">
        <w:r>
          <w:rPr>
            <w:rStyle w:val="902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27 июля 2006 г.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Назначить ответственными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</w:t>
      </w:r>
      <w:r>
        <w:rPr>
          <w:sz w:val="28"/>
          <w:szCs w:val="28"/>
        </w:rPr>
        <w:t xml:space="preserve">Проекта первого заместителя главы администрации города</w:t>
      </w:r>
      <w:r>
        <w:rPr>
          <w:sz w:val="28"/>
          <w:szCs w:val="28"/>
        </w:rPr>
        <w:t xml:space="preserve"> Перми Фурман Я.В., департамент экономики и промышленной политики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Департаменту экономики и промышленной политики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организовать необходимые мероприятия по подготовке и проведению публичных слушаний;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организовать проведение первого заседания Организационного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в дальнейшем осуществлять организационное и материально-техническое обеспечение его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Управлению информационных технологий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обеспечить техническую поддержку проведения публичных слушаний, назн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ченных в соответствии с настоящим постановлением.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Настоящее постановление вступает в силу со дня </w:t>
      </w:r>
      <w:r>
        <w:rPr>
          <w:bCs/>
          <w:sz w:val="28"/>
          <w:szCs w:val="28"/>
        </w:rPr>
        <w:t xml:space="preserve">официального опуб</w:t>
      </w:r>
      <w:r>
        <w:rPr>
          <w:bCs/>
          <w:color w:val="000000"/>
          <w:sz w:val="28"/>
          <w:szCs w:val="28"/>
        </w:rPr>
        <w:t xml:space="preserve">л</w:t>
      </w:r>
      <w:r>
        <w:rPr>
          <w:bCs/>
          <w:color w:val="000000"/>
          <w:sz w:val="28"/>
          <w:szCs w:val="28"/>
        </w:rPr>
        <w:t xml:space="preserve">и</w:t>
      </w:r>
      <w:r>
        <w:rPr>
          <w:bCs/>
          <w:color w:val="000000"/>
          <w:sz w:val="28"/>
          <w:szCs w:val="28"/>
        </w:rPr>
        <w:t xml:space="preserve">кования </w:t>
      </w:r>
      <w:r>
        <w:rPr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25" w:tooltip="&lt;div class=&quot;doc www&quot;&gt;&lt;span class=&quot;aligner&quot;&gt;&lt;div class=&quot;icon listDocWWW-16&quot;&gt;&lt;/div&gt;&lt;/span&gt;www.gorodperm.ru&lt;/div&gt;" w:history="1">
        <w:r>
          <w:rPr>
            <w:rStyle w:val="902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Style w:val="902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29.08.2025 № 151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 вносится Главой города Перми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-22224</wp:posOffset>
                </wp:positionV>
                <wp:extent cx="535940" cy="66675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359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0288;o:allowoverlap:true;o:allowincell:true;mso-position-horizontal-relative:text;margin-left:226.35pt;mso-position-horizontal:absolute;mso-position-vertical-relative:text;margin-top:-1.75pt;mso-position-vertical:absolute;width:42.20pt;height:52.50pt;mso-wrap-distance-left:9.00pt;mso-wrap-distance-top:0.00pt;mso-wrap-distance-right:9.00pt;mso-wrap-distance-bottom:0.00pt;" stroked="f">
                <v:path textboxrect="0,0,0,0"/>
                <v:imagedata r:id="rId26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 xml:space="preserve">VII</w:t>
      </w:r>
      <w:r>
        <w:rPr>
          <w:sz w:val="36"/>
        </w:rPr>
        <w:t xml:space="preserve"> созыва</w:t>
      </w:r>
      <w:r>
        <w:rPr>
          <w:sz w:val="36"/>
        </w:rPr>
      </w:r>
      <w:r>
        <w:rPr>
          <w:sz w:val="36"/>
        </w:rPr>
      </w:r>
    </w:p>
    <w:p>
      <w:pPr>
        <w:jc w:val="center"/>
        <w:spacing w:after="960"/>
        <w:widowControl w:val="off"/>
        <w:rPr>
          <w:sz w:val="28"/>
          <w:szCs w:val="28"/>
        </w:rPr>
      </w:pPr>
      <w:r>
        <w:rPr>
          <w:sz w:val="32"/>
        </w:rPr>
        <w:t xml:space="preserve">Р</w:t>
      </w:r>
      <w:r>
        <w:rPr>
          <w:sz w:val="32"/>
        </w:rPr>
        <w:t xml:space="preserve"> Е Ш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 xml:space="preserve">от 15.12.2020 № 277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ральных </w:t>
      </w:r>
      <w:hyperlink r:id="rId27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 xml:space="preserve">законов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20.03.2025 № 33-ФЗ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единой системе публичной власти», </w:t>
      </w:r>
      <w:hyperlink r:id="rId28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 xml:space="preserve"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  <w:r>
        <w:rPr>
          <w:b/>
          <w:spacing w:val="50"/>
          <w:sz w:val="28"/>
          <w:szCs w:val="28"/>
        </w:rPr>
      </w:r>
      <w:r>
        <w:rPr>
          <w:b/>
          <w:spacing w:val="5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города Перми,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жденные решением Пермской городской Думы от 15.12.2020 № 277 </w:t>
      </w:r>
      <w:r>
        <w:rPr>
          <w:sz w:val="28"/>
          <w:szCs w:val="28"/>
        </w:rPr>
        <w:br w:type="textWrapping" w:clear="all"/>
        <w:t xml:space="preserve">(в редакции решений Пермской городской Думы от 24.02.2021 </w:t>
      </w:r>
      <w:hyperlink r:id="rId29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 xml:space="preserve"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  <w:t xml:space="preserve">от 27.04.2021 </w:t>
      </w:r>
      <w:hyperlink r:id="rId30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 xml:space="preserve">№ 102</w:t>
        </w:r>
      </w:hyperlink>
      <w:r>
        <w:rPr>
          <w:sz w:val="28"/>
          <w:szCs w:val="28"/>
        </w:rPr>
        <w:t xml:space="preserve">, от 24.08.2021 </w:t>
      </w:r>
      <w:hyperlink r:id="rId31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 xml:space="preserve">№ 181</w:t>
        </w:r>
      </w:hyperlink>
      <w:r>
        <w:rPr>
          <w:sz w:val="28"/>
          <w:szCs w:val="28"/>
        </w:rPr>
        <w:t xml:space="preserve">, от 24.08.2021 </w:t>
      </w:r>
      <w:hyperlink r:id="rId32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 xml:space="preserve"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 w:type="textWrapping" w:clear="all"/>
        <w:t xml:space="preserve">№ 307, от 26.04.2022</w:t>
      </w:r>
      <w:r>
        <w:rPr>
          <w:sz w:val="28"/>
          <w:szCs w:val="28"/>
        </w:rPr>
        <w:t xml:space="preserve"> </w:t>
      </w:r>
      <w:hyperlink r:id="rId33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 xml:space="preserve">№ 81</w:t>
        </w:r>
      </w:hyperlink>
      <w:r>
        <w:rPr>
          <w:sz w:val="28"/>
          <w:szCs w:val="28"/>
        </w:rPr>
        <w:t xml:space="preserve">, от 26.04.2022 </w:t>
      </w:r>
      <w:hyperlink r:id="rId34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 xml:space="preserve">№ 82</w:t>
        </w:r>
      </w:hyperlink>
      <w:r>
        <w:rPr>
          <w:sz w:val="28"/>
          <w:szCs w:val="28"/>
        </w:rPr>
        <w:t xml:space="preserve">, от 28.06.2022 </w:t>
      </w:r>
      <w:hyperlink r:id="rId35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 xml:space="preserve"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 w:type="textWrapping" w:clear="all"/>
        <w:t xml:space="preserve">от 15.11.2022 </w:t>
      </w:r>
      <w:hyperlink r:id="rId36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 xml:space="preserve">№ 257</w:t>
        </w:r>
      </w:hyperlink>
      <w:r>
        <w:rPr>
          <w:sz w:val="28"/>
          <w:szCs w:val="28"/>
        </w:rPr>
        <w:t xml:space="preserve">, от 20.12.2022 </w:t>
      </w:r>
      <w:hyperlink r:id="rId37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 xml:space="preserve">№ 271</w:t>
        </w:r>
      </w:hyperlink>
      <w:r>
        <w:rPr>
          <w:sz w:val="28"/>
          <w:szCs w:val="28"/>
        </w:rPr>
        <w:t xml:space="preserve">, от 20.12.2022 </w:t>
      </w:r>
      <w:hyperlink r:id="rId38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 xml:space="preserve"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 w:type="textWrapping" w:clear="all"/>
        <w:t xml:space="preserve">№ 280, от 24.01.2023 № 10, от 27.06.2023 № 117, от 22.08.2023 № 161, </w:t>
      </w:r>
      <w:r>
        <w:rPr>
          <w:sz w:val="28"/>
          <w:szCs w:val="28"/>
        </w:rPr>
        <w:br w:type="textWrapping" w:clear="all"/>
        <w:t xml:space="preserve">от 26.09.2023 № 181, от 26.09.2023 № 182, от 26.09.2023 № 188, от 26.09.2023 </w:t>
      </w:r>
      <w:r>
        <w:rPr>
          <w:sz w:val="28"/>
          <w:szCs w:val="28"/>
        </w:rPr>
        <w:br w:type="textWrapping" w:clear="all"/>
        <w:t xml:space="preserve">№ 189, от 26.09.2023 № 199, от 19.12.2023 № 277, от 27.02.2024 </w:t>
      </w:r>
      <w:hyperlink r:id="rId39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 w:type="textWrapping" w:clear="all"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</w:r>
      <w:r>
        <w:rPr>
          <w:sz w:val="28"/>
          <w:szCs w:val="28"/>
        </w:rPr>
        <w:br/>
        <w:t xml:space="preserve">от 17.12.2024 № 229, от 25.03.2025 № 48, от 24.04.2025 № 80, от 24.04.2025 № 81, от 27.05.2025 № 99, от 27.05.2025 № 100, от 27.05.2025 № 101),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 подпункт 9.4.4.4 дополнить абзацами пятым-седьмым следующего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</w:rPr>
        <w:t xml:space="preserve">«</w:t>
      </w:r>
      <w:r>
        <w:rPr>
          <w:sz w:val="28"/>
          <w:szCs w:val="28"/>
        </w:rPr>
        <w:t xml:space="preserve">в границах гостевого маршрута,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границах городского центра,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 территориях, выходящих на улицы особого градостроительного </w:t>
      </w:r>
      <w:r>
        <w:rPr>
          <w:sz w:val="28"/>
          <w:szCs w:val="28"/>
        </w:rPr>
        <w:br/>
        <w:t xml:space="preserve">значения – магистрали городского значения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 в </w:t>
      </w:r>
      <w:hyperlink r:id="rId40" w:tooltip="https://login.consultant.ru/link/?req=doc&amp;base=RLAW368&amp;n=196762&amp;dst=100756" w:history="1">
        <w:r>
          <w:rPr>
            <w:sz w:val="28"/>
            <w:szCs w:val="28"/>
          </w:rPr>
          <w:t xml:space="preserve">Требования</w:t>
        </w:r>
      </w:hyperlink>
      <w:r>
        <w:rPr>
          <w:sz w:val="28"/>
          <w:szCs w:val="28"/>
        </w:rPr>
        <w:t xml:space="preserve">х к типовым проектам некапитальных строений, сооруж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используемых для осуществления торговой деятельности и деятельности по оказанию услуг населению, включая услуги общественного питания (приложение 1):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1.2.1 в пункте 1.2 слова </w:t>
      </w:r>
      <w:r>
        <w:rPr>
          <w:rFonts w:eastAsia="Calibri"/>
          <w:sz w:val="28"/>
          <w:szCs w:val="28"/>
        </w:rPr>
        <w:t xml:space="preserve">«</w:t>
      </w:r>
      <w:r>
        <w:rPr>
          <w:sz w:val="28"/>
          <w:szCs w:val="28"/>
        </w:rPr>
        <w:t xml:space="preserve">(за исключением павильона, используемого для оказания услуг мойки транспортных средств)</w:t>
      </w:r>
      <w:r>
        <w:rPr>
          <w:rFonts w:eastAsia="Calibri"/>
          <w:sz w:val="28"/>
          <w:szCs w:val="28"/>
        </w:rPr>
        <w:t xml:space="preserve">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1.2.2 в пункте 2.1.7.1 после слов «неровной поверхности» дополнить словом «земли»;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1.2.3 в пункте 2.2.7.1 после слов «неровной поверхности» дополнить словом «земли»;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1.2.4 в пункте 3.1.7.1 после слов «неровной поверхности» дополнить словом «земли»;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1.2.5 дополнить подразделом 3.2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«</w:t>
      </w:r>
      <w:r>
        <w:rPr>
          <w:sz w:val="28"/>
          <w:szCs w:val="28"/>
        </w:rPr>
        <w:t xml:space="preserve">3.2. Требования к типовым проектам павильонов по оказанию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мойки транспортных средств (далее – автомойка)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Размеры автомойки: длина – от 8 м до 25 м, ширина – от 6 м до 15 м, высота – не более 6 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Конструкции, требования к их материалам: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 каркас: несущие сварные металлические конструкции;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 оконные и дверные переплеты;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3.2.2.3 остекление: простое прозрачное с антивандальным покрытием, без </w:t>
      </w:r>
      <w:r>
        <w:rPr>
          <w:sz w:val="28"/>
          <w:szCs w:val="28"/>
        </w:rPr>
        <w:t xml:space="preserve">тонирования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3.2.2.4 моечный пост, ворота. Количество моечных постов, ворот автомойки определяются ее владельцем;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 Декоративные элементы внешней отделки и требования к их параме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рам и материалам: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 панели для отделки фасадов: металлические панели или компози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ные панели;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3.2.3.2 наружные углы: композит;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3.2.3.3 фриз: композит или металл толщиной не менее 1,5 мм; высота </w:t>
      </w:r>
      <w:r>
        <w:rPr>
          <w:sz w:val="28"/>
          <w:szCs w:val="28"/>
        </w:rPr>
        <w:br/>
        <w:t xml:space="preserve">фриза – 0,69-0,81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ные элементы внешней отделки, требования к их материалам: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3.2.4.1 допускаются вентиляционные решетки: металл;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3.2.4.2 допускаются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системы: металлические с механическим или электрическим приводом.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3.2.4.3 для идентификации автомойки допускается использование типовых знаков в виде шланга, капли с отражением автомобиля, </w:t>
      </w:r>
      <w:r>
        <w:rPr>
          <w:sz w:val="28"/>
          <w:szCs w:val="28"/>
        </w:rPr>
        <w:t xml:space="preserve">геометки</w:t>
      </w:r>
      <w:r>
        <w:rPr>
          <w:sz w:val="28"/>
          <w:szCs w:val="28"/>
        </w:rPr>
        <w:t xml:space="preserve">, мыльных пуз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рей и иных подобных изображений (далее – типовой знак автомойки): металл или композит.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Требования к размещению декоративных элементов внешней отделки устанавливаются в зависимости от типа автомойки: «Тип 1», «Тип 2», «Тип 3».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3.2.5.1 «Тип 1»: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3.2.5.1.1 на главном фасаде автомойки типа 1 должна быть размещена дек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ративная панель с вертикальным расположением реек, при этом ширина декор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тивной панели должна быть равна ширине одного из ворот, а верхняя высотная отметка декоративной панели должна совпадать с нижней высотной отметкой фриза, нижняя высотная отметка декоративной панели должна достигать нижней отметки павильона автомойки.</w:t>
      </w:r>
      <w:r>
        <w:rPr>
          <w:sz w:val="28"/>
          <w:szCs w:val="28"/>
        </w:rPr>
        <w:t xml:space="preserve"> Ширина рейки не менее 0,04 м и не более 0,05 м, расстояние между ближайшими рейками – не менее 0,04 м и не более 0,05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 «Тип 2»: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3.2.5.2.1 для облицовки главного фасада используются декоративные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емные реечные панели с вертикальным расположением реек (далее – декорати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ные панели отделки);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3.2.5.2.2 на дворовом фасаде, под фризом, во всю длину автомойки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щается декоративная панель отделки шириной 0,59-0,71 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3.2.5.2.3 на боковых фасадах, под фризом, со стороны дворового фасада, размещаются декоративные панели отделки шириной 0,59-0,71 м; на расстоянии от 2/5 до 1/2 от длины боковых фасадов декоративные панели отделки расшир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ются по всей длине фасадов;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3.2.5.3 «Тип 3»: требования не устанавливаются.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Требования к цветовому решению конструкций и элементов внешней отделки: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3.2.6.1 «Тип 1»: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3.2.6.1.1 панели для отделки фасада, ворота, вентиляционные решетки, наружные углы,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системы: RAL 9016 (транспортный белый);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3.2.6.1.2 фриз, декоративная панель, оконные и дверные переплеты, типовой знак автомойки, графическое изображение номера ворот: RAL 7016 (</w:t>
      </w:r>
      <w:r>
        <w:rPr>
          <w:sz w:val="28"/>
          <w:szCs w:val="28"/>
        </w:rPr>
        <w:t xml:space="preserve">антрацитово</w:t>
      </w:r>
      <w:r>
        <w:rPr>
          <w:sz w:val="28"/>
          <w:szCs w:val="28"/>
        </w:rPr>
        <w:t xml:space="preserve">-серый);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3.2.6.2 «Тип 2»: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3.2.6.2.1 панели для отделки фасада, ворота, фриз, типовой знак автомойки, вентиляционные решетки, наружные углы,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системы: RAL 7039 (ква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цевый серый);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3.2.6.2.2 декоративные панели, графическое изображение номера ворот: RAL 1015 (светлая слоновая кость);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3.2.6.3 «Тип 3»: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3.2.6.3.1 панели для отделки фасада, наружные углы: RAL 7037 (пыльно-серый) и (или) RAL 7034 (желто-серый);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3.2.6.3.2 фриз: RAL 7034 (</w:t>
      </w:r>
      <w:r>
        <w:rPr>
          <w:sz w:val="28"/>
          <w:szCs w:val="28"/>
        </w:rPr>
        <w:t xml:space="preserve">желто-серый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3.2.6.3.3 ворота, вентиляционные решетки,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системы: RAL 7037 (пыльно-серый);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3.2.6.3.2 типовой знак автомойки, оконные и дверные переплеты: RAL 7016 (</w:t>
      </w:r>
      <w:r>
        <w:rPr>
          <w:sz w:val="28"/>
          <w:szCs w:val="28"/>
        </w:rPr>
        <w:t xml:space="preserve">антрацитово</w:t>
      </w:r>
      <w:r>
        <w:rPr>
          <w:sz w:val="28"/>
          <w:szCs w:val="28"/>
        </w:rPr>
        <w:t xml:space="preserve">-серый).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Дополнительные требования к типовым проектам автомоек: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3.2.7.1 в случае неровной поверхности земли размещение автомойки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 предусматривать ее размещение в ровной горизонтальной плоскости;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3.2.7.2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системы не должны перекрывать декоративные элементы внешней отделки;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3.2.7.3 установка кондиционера: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3.2.7.3.1 допускается внешняя и внутренняя система кондиционирования;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3.2.7.3.2 при внешнем кондиционировании внешний блок кондиционера располагается на крыше (кровле) автомойки;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3.2.7.3.3 высота внешнего блока кондиционера не должна превышать выс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ту фриза, при отсутствии технической возможности такого размещения внешний блок кондиционера должен быть размещен по центру крыши (кровли) с использ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ванием маскирующего ограждения (экрана, решетки), соответствующего цвету панелей для отделки фасадов автомойки, со скрытым отводом конденсата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1.2.6 в пункте 4.3: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1.2.6.1 слова «и </w:t>
      </w:r>
      <w:r>
        <w:rPr>
          <w:sz w:val="28"/>
          <w:szCs w:val="28"/>
        </w:rPr>
        <w:t xml:space="preserve">вендингового</w:t>
      </w:r>
      <w:r>
        <w:rPr>
          <w:sz w:val="28"/>
          <w:szCs w:val="28"/>
        </w:rPr>
        <w:t xml:space="preserve"> автомата» заменить словами «, </w:t>
      </w:r>
      <w:r>
        <w:rPr>
          <w:sz w:val="28"/>
          <w:szCs w:val="28"/>
        </w:rPr>
        <w:t xml:space="preserve">вендингового</w:t>
      </w:r>
      <w:r>
        <w:rPr>
          <w:sz w:val="28"/>
          <w:szCs w:val="28"/>
        </w:rPr>
        <w:t xml:space="preserve"> автомата и автомойки»;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1.2.6.2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«Вывеска на автомойке размещается в левом верхнем углу фриза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1.2.7 абзац второй пункта 4.7 после слова «</w:t>
      </w:r>
      <w:r>
        <w:rPr>
          <w:sz w:val="28"/>
          <w:szCs w:val="28"/>
        </w:rPr>
        <w:t xml:space="preserve">шиномонтажах</w:t>
      </w:r>
      <w:r>
        <w:rPr>
          <w:sz w:val="28"/>
          <w:szCs w:val="28"/>
        </w:rPr>
        <w:t xml:space="preserve">» дополнить 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вом «, автомойках»;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1.2.8 в абзаце втором пункта 4.8 слова «или шиномонтажа» заменить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«, шиномонтажа, автомойки»;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 в приложении к Требованиям к типовым проектам некапитальных стр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ений, сооружений, используемых для осуществления торговой деятельности и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ятельности по оказанию услуг населению, включая услуги общественного 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1.3.1 дополнить подразделом 2.2 согласно приложению 1 к настоящему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1.3.2 раздел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изложить в редакции согласно приложению 2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Размещенные на территории города Перми на день вступления в силу настоящего решения некапитальные строения, сооружения, используемые для оказания услуг мойки транспортных средств, должны быть приведены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ствие требованиями Правил благоустройства территории города Перми в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 настоящего решения до 01.01.2027.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 Настоящее решение вступает в силу с 01.03.2026.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</w:t>
      </w:r>
      <w:hyperlink r:id="rId41" w:tooltip="http://www.gorodperm.ru" w:history="1">
        <w:r>
          <w:rPr>
            <w:sz w:val="28"/>
            <w:szCs w:val="28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29.08.2025 № 151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по проекту 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Правила 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утвержденные решением Пермской городской Думы от 15.12.2020 № 277»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Пермской городской Думы «О внесении изменений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Правила благоустройства территории города Перми, утвержденные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решением Пермской городской Думы от 15.12.2020 № 277»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409"/>
        <w:gridCol w:w="2410"/>
        <w:gridCol w:w="2410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подпункт, </w:t>
            </w:r>
            <w:r>
              <w:rPr>
                <w:sz w:val="28"/>
                <w:szCs w:val="28"/>
              </w:rPr>
              <w:br w:type="textWrapping" w:clear="all"/>
              <w:t xml:space="preserve">абзац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 w:type="textWrapping" w:clear="all"/>
              <w:t xml:space="preserve">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Фамилия, имя, отчество физического лица или наименование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right="0"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рождения физического лица или дата создания организации: 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right="0"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жительства физического лица или места нахождения организации, ОГРН:________________________________________________________________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Подпись физического лица или уполномоченного лица организации, дата: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0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2" w:tooltip="consultantplus://offline/ref=E5E2C0FD53107AFE218F42BF60E2CABF54B117D8F3E55CC0015412304089078129650DFC82315013E92CDF8080H7H1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 w:type="textWrapping" w:clear="all"/>
        <w:t xml:space="preserve">«О персональных данных» даю согласие департаменту экономики и промышле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политики администрации города Перми (614015, г. Пермь, ул. Сибирская, 27), организационному комитету по организации проведения публичных слушаний </w:t>
      </w:r>
      <w:r>
        <w:rPr>
          <w:sz w:val="28"/>
          <w:szCs w:val="28"/>
        </w:rPr>
        <w:br/>
        <w:t xml:space="preserve">по обсуждению проекта решения Пермской городской Думы «О внесении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нений в Правила благоустройства территории города Перми, утвержденные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шением Пермской городской Думы от 15.12.2020</w:t>
      </w:r>
      <w:r>
        <w:rPr>
          <w:sz w:val="28"/>
          <w:szCs w:val="28"/>
        </w:rPr>
        <w:t xml:space="preserve"> № 277» (далее – организатор публичных слушаний) на обработку следующих персональных данных,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димых </w:t>
      </w:r>
      <w:r>
        <w:rPr>
          <w:sz w:val="28"/>
          <w:szCs w:val="28"/>
        </w:rPr>
        <w:br/>
        <w:t xml:space="preserve">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 w:type="textWrapping" w:clear="all"/>
        <w:t xml:space="preserve">в течение срока хранения протокола публичных слушаний, установленного </w:t>
      </w:r>
      <w:r>
        <w:rPr>
          <w:sz w:val="28"/>
          <w:szCs w:val="28"/>
        </w:rPr>
        <w:br/>
        <w:t xml:space="preserve">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 w:type="textWrapping" w:clear="all"/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организатору публичных слушаний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представить персональные данные и (или) дать согласие </w:t>
      </w:r>
      <w:r>
        <w:rPr>
          <w:sz w:val="28"/>
          <w:szCs w:val="28"/>
        </w:rPr>
        <w:br w:type="textWrapping" w:clear="all"/>
        <w:t xml:space="preserve">на их обработку внесенные предложения и замечания по проекту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sz w:val="28"/>
          <w:szCs w:val="28"/>
        </w:rPr>
        <w:br/>
        <w:t xml:space="preserve">от 15.12.2020 № 277» рассмотрению не подлежат (не учитываются в протоколе публичных слушаний и в заключении о результатах публичных слушаний).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(или) дать согласие на их обработку.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Приложение*: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(дата, Ф.И.О., 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Указываются и прикладываются документы (копии), подтверждающие сведения в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ответствии с </w:t>
      </w:r>
      <w:hyperlink r:id="rId43" w:tooltip="consultantplus://offline/ref=E5E2C0FD53107AFE218F5CB2768E97B45FB240D4FBE35F9F5C0414671FD901D47B2553A5C1724312EF32DD818A78DB66523889271B182F60E482120DHEHFI" w:history="1">
        <w:r>
          <w:rPr>
            <w:sz w:val="24"/>
            <w:szCs w:val="24"/>
          </w:rPr>
          <w:t xml:space="preserve">пунктом 1.5</w:t>
        </w:r>
      </w:hyperlink>
      <w:r>
        <w:rPr>
          <w:sz w:val="24"/>
          <w:szCs w:val="24"/>
        </w:rPr>
        <w:t xml:space="preserve"> Положения о порядке организации и проведения публичных слуш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ний по обсуждению </w:t>
      </w:r>
      <w:r>
        <w:rPr>
          <w:sz w:val="24"/>
          <w:szCs w:val="24"/>
        </w:rPr>
        <w:t xml:space="preserve">проекта правил благоустройства территории города</w:t>
      </w:r>
      <w:r>
        <w:rPr>
          <w:sz w:val="24"/>
          <w:szCs w:val="24"/>
        </w:rPr>
        <w:t xml:space="preserve"> Перми, утвержденного решением Пермской городской Думы от 26 марта 2019 г. № 57.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7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454" w:footer="720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29.08.2025 № 151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организации проведения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решения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Правила благоустройства территории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утвержденные решением Пермской городской Думы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15.12.2020 № 277»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51"/>
        <w:gridCol w:w="6688"/>
      </w:tblGrid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«Территориальное общественное самоуправление «Попова» Ленинского района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Фарида </w:t>
            </w:r>
            <w:r>
              <w:rPr>
                <w:sz w:val="28"/>
                <w:szCs w:val="28"/>
              </w:rPr>
              <w:t xml:space="preserve">Фагимовна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«Территориальное общественное самоуправление «</w:t>
            </w:r>
            <w:r>
              <w:rPr>
                <w:sz w:val="28"/>
                <w:szCs w:val="28"/>
              </w:rPr>
              <w:t xml:space="preserve">Качаловский</w:t>
            </w:r>
            <w:r>
              <w:rPr>
                <w:sz w:val="28"/>
                <w:szCs w:val="28"/>
              </w:rPr>
              <w:t xml:space="preserve">» Индустриального района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Коноплева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Аркадьевна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«Территориальное общественное самоуправление «</w:t>
            </w:r>
            <w:r>
              <w:rPr>
                <w:sz w:val="28"/>
                <w:szCs w:val="28"/>
              </w:rPr>
              <w:t xml:space="preserve">Черняевский</w:t>
            </w:r>
            <w:r>
              <w:rPr>
                <w:sz w:val="28"/>
                <w:szCs w:val="28"/>
              </w:rPr>
              <w:t xml:space="preserve">» Индустриального района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промышленной политики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Спиридонов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депутат Пермской городской Думы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нию)</w:t>
            </w:r>
            <w:bookmarkStart w:id="1" w:name="_GoBack"/>
            <w:r/>
            <w:bookmarkEnd w:id="1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</w:style>
  <w:style w:type="paragraph" w:styleId="720">
    <w:name w:val="Heading 1"/>
    <w:basedOn w:val="719"/>
    <w:next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>
    <w:name w:val="Header"/>
    <w:basedOn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3">
    <w:name w:val="Footer"/>
    <w:basedOn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4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 w:customStyle="1">
    <w:name w:val="Title Char"/>
    <w:basedOn w:val="729"/>
    <w:uiPriority w:val="10"/>
    <w:rPr>
      <w:sz w:val="48"/>
      <w:szCs w:val="48"/>
    </w:rPr>
  </w:style>
  <w:style w:type="character" w:styleId="736" w:customStyle="1">
    <w:name w:val="Subtitle Char"/>
    <w:basedOn w:val="729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Endnote Text Char"/>
    <w:uiPriority w:val="99"/>
    <w:rPr>
      <w:sz w:val="20"/>
    </w:rPr>
  </w:style>
  <w:style w:type="paragraph" w:styleId="740" w:customStyle="1">
    <w:name w:val="Заголовок 11"/>
    <w:basedOn w:val="719"/>
    <w:next w:val="719"/>
    <w:link w:val="920"/>
    <w:qFormat/>
    <w:pPr>
      <w:ind w:right="-1" w:firstLine="709"/>
      <w:jc w:val="both"/>
      <w:keepNext/>
      <w:outlineLvl w:val="0"/>
    </w:pPr>
  </w:style>
  <w:style w:type="paragraph" w:styleId="741" w:customStyle="1">
    <w:name w:val="Заголовок 21"/>
    <w:basedOn w:val="719"/>
    <w:next w:val="719"/>
    <w:link w:val="921"/>
    <w:qFormat/>
    <w:pPr>
      <w:ind w:right="-1"/>
      <w:jc w:val="both"/>
      <w:keepNext/>
      <w:outlineLvl w:val="1"/>
    </w:pPr>
  </w:style>
  <w:style w:type="paragraph" w:styleId="742" w:customStyle="1">
    <w:name w:val="Заголовок 12"/>
    <w:basedOn w:val="719"/>
    <w:next w:val="719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 w:customStyle="1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 w:customStyle="1">
    <w:name w:val="Заголовок 22"/>
    <w:basedOn w:val="719"/>
    <w:next w:val="719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 w:customStyle="1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 w:customStyle="1">
    <w:name w:val="Заголовок 3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 w:customStyle="1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 w:customStyle="1">
    <w:name w:val="Заголовок 41"/>
    <w:basedOn w:val="719"/>
    <w:next w:val="719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 w:customStyle="1">
    <w:name w:val="Заголовок 51"/>
    <w:basedOn w:val="719"/>
    <w:next w:val="719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51" w:customStyle="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 w:customStyle="1">
    <w:name w:val="Заголовок 61"/>
    <w:basedOn w:val="719"/>
    <w:next w:val="719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 w:customStyle="1">
    <w:name w:val="Заголовок 71"/>
    <w:basedOn w:val="719"/>
    <w:next w:val="719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19"/>
    <w:next w:val="719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 w:customStyle="1">
    <w:name w:val="Заголовок 91"/>
    <w:basedOn w:val="719"/>
    <w:next w:val="719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19"/>
    <w:uiPriority w:val="34"/>
    <w:qFormat/>
    <w:pPr>
      <w:contextualSpacing/>
      <w:ind w:left="720" w:firstLine="540"/>
      <w:jc w:val="both"/>
    </w:pPr>
    <w:rPr>
      <w:rFonts w:eastAsia="Calibri"/>
      <w:sz w:val="28"/>
      <w:lang w:eastAsia="en-US"/>
    </w:rPr>
  </w:style>
  <w:style w:type="paragraph" w:styleId="761">
    <w:name w:val="No Spacing"/>
    <w:uiPriority w:val="1"/>
    <w:qFormat/>
  </w:style>
  <w:style w:type="paragraph" w:styleId="762">
    <w:name w:val="Title"/>
    <w:basedOn w:val="719"/>
    <w:next w:val="719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19"/>
    <w:next w:val="719"/>
    <w:link w:val="765"/>
    <w:uiPriority w:val="11"/>
    <w:qFormat/>
    <w:pPr>
      <w:spacing w:before="200" w:after="200"/>
    </w:p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19"/>
    <w:next w:val="719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19"/>
    <w:next w:val="719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 w:customStyle="1">
    <w:name w:val="Верхний колонтитул1"/>
    <w:basedOn w:val="719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1" w:customStyle="1">
    <w:name w:val="Header Char"/>
    <w:link w:val="770"/>
    <w:uiPriority w:val="99"/>
  </w:style>
  <w:style w:type="paragraph" w:styleId="772" w:customStyle="1">
    <w:name w:val="Нижний колонтитул1"/>
    <w:basedOn w:val="719"/>
    <w:link w:val="7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uiPriority w:val="99"/>
  </w:style>
  <w:style w:type="paragraph" w:styleId="774" w:customStyle="1">
    <w:name w:val="Название объекта1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link w:val="772"/>
    <w:uiPriority w:val="99"/>
  </w:style>
  <w:style w:type="table" w:styleId="77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rPr>
      <w:color w:val="0000ff"/>
      <w:u w:val="single"/>
    </w:rPr>
  </w:style>
  <w:style w:type="paragraph" w:styleId="903">
    <w:name w:val="footnote text"/>
    <w:basedOn w:val="719"/>
    <w:link w:val="941"/>
    <w:uiPriority w:val="99"/>
    <w:unhideWhenUsed/>
  </w:style>
  <w:style w:type="character" w:styleId="904" w:customStyle="1">
    <w:name w:val="Footnote Text Char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19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19"/>
    <w:next w:val="719"/>
    <w:uiPriority w:val="39"/>
    <w:unhideWhenUsed/>
    <w:pPr>
      <w:spacing w:after="57"/>
    </w:pPr>
  </w:style>
  <w:style w:type="paragraph" w:styleId="910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11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12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13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14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15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16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17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19"/>
    <w:next w:val="719"/>
    <w:uiPriority w:val="99"/>
    <w:unhideWhenUsed/>
  </w:style>
  <w:style w:type="character" w:styleId="920" w:customStyle="1">
    <w:name w:val="Заголовок 1 Знак"/>
    <w:basedOn w:val="729"/>
    <w:link w:val="740"/>
    <w:rPr>
      <w:sz w:val="24"/>
    </w:rPr>
  </w:style>
  <w:style w:type="character" w:styleId="921" w:customStyle="1">
    <w:name w:val="Заголовок 2 Знак"/>
    <w:basedOn w:val="729"/>
    <w:link w:val="741"/>
    <w:rPr>
      <w:sz w:val="24"/>
    </w:rPr>
  </w:style>
  <w:style w:type="paragraph" w:styleId="922" w:customStyle="1">
    <w:name w:val="Название объекта2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3">
    <w:name w:val="Body Text"/>
    <w:basedOn w:val="719"/>
    <w:link w:val="924"/>
    <w:pPr>
      <w:ind w:right="3117"/>
    </w:pPr>
    <w:rPr>
      <w:rFonts w:ascii="Courier New" w:hAnsi="Courier New"/>
      <w:sz w:val="26"/>
    </w:rPr>
  </w:style>
  <w:style w:type="character" w:styleId="924" w:customStyle="1">
    <w:name w:val="Основной текст Знак"/>
    <w:basedOn w:val="729"/>
    <w:link w:val="923"/>
    <w:rPr>
      <w:rFonts w:ascii="Courier New" w:hAnsi="Courier New"/>
      <w:sz w:val="26"/>
    </w:rPr>
  </w:style>
  <w:style w:type="paragraph" w:styleId="925">
    <w:name w:val="Body Text Indent"/>
    <w:basedOn w:val="719"/>
    <w:link w:val="926"/>
    <w:pPr>
      <w:ind w:right="-1"/>
      <w:jc w:val="both"/>
    </w:pPr>
    <w:rPr>
      <w:sz w:val="26"/>
    </w:rPr>
  </w:style>
  <w:style w:type="character" w:styleId="926" w:customStyle="1">
    <w:name w:val="Основной текст с отступом Знак"/>
    <w:basedOn w:val="729"/>
    <w:link w:val="925"/>
    <w:rPr>
      <w:sz w:val="26"/>
    </w:rPr>
  </w:style>
  <w:style w:type="paragraph" w:styleId="927" w:customStyle="1">
    <w:name w:val="Нижний колонтитул2"/>
    <w:basedOn w:val="719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928" w:customStyle="1">
    <w:name w:val="Нижний колонтитул Знак"/>
    <w:basedOn w:val="729"/>
    <w:link w:val="927"/>
    <w:uiPriority w:val="99"/>
  </w:style>
  <w:style w:type="character" w:styleId="929">
    <w:name w:val="page number"/>
    <w:basedOn w:val="729"/>
  </w:style>
  <w:style w:type="paragraph" w:styleId="930" w:customStyle="1">
    <w:name w:val="Верхний колонтитул2"/>
    <w:basedOn w:val="719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931" w:customStyle="1">
    <w:name w:val="Верхний колонтитул Знак"/>
    <w:link w:val="930"/>
    <w:uiPriority w:val="99"/>
  </w:style>
  <w:style w:type="paragraph" w:styleId="932">
    <w:name w:val="Balloon Text"/>
    <w:basedOn w:val="719"/>
    <w:link w:val="933"/>
    <w:uiPriority w:val="99"/>
    <w:rPr>
      <w:rFonts w:ascii="Segoe UI" w:hAnsi="Segoe UI"/>
      <w:sz w:val="18"/>
      <w:szCs w:val="18"/>
      <w:lang w:val="en-US" w:eastAsia="en-US"/>
    </w:rPr>
  </w:style>
  <w:style w:type="character" w:styleId="933" w:customStyle="1">
    <w:name w:val="Текст выноски Знак"/>
    <w:link w:val="932"/>
    <w:uiPriority w:val="99"/>
    <w:rPr>
      <w:rFonts w:ascii="Segoe UI" w:hAnsi="Segoe UI" w:cs="Segoe UI"/>
      <w:sz w:val="18"/>
      <w:szCs w:val="18"/>
    </w:rPr>
  </w:style>
  <w:style w:type="paragraph" w:styleId="934" w:customStyle="1">
    <w:name w:val="ConsPlusNormal"/>
    <w:link w:val="935"/>
    <w:pPr>
      <w:ind w:firstLine="720"/>
      <w:widowControl w:val="off"/>
    </w:pPr>
    <w:rPr>
      <w:rFonts w:ascii="Arial" w:hAnsi="Arial" w:cs="Arial"/>
      <w:lang w:eastAsia="ru-RU"/>
    </w:rPr>
  </w:style>
  <w:style w:type="character" w:styleId="935" w:customStyle="1">
    <w:name w:val="ConsPlusNormal Знак"/>
    <w:link w:val="934"/>
    <w:uiPriority w:val="99"/>
    <w:rPr>
      <w:rFonts w:ascii="Arial" w:hAnsi="Arial" w:cs="Arial"/>
      <w:lang w:val="ru-RU" w:eastAsia="ru-RU" w:bidi="ar-SA"/>
    </w:rPr>
  </w:style>
  <w:style w:type="character" w:styleId="936" w:customStyle="1">
    <w:name w:val="Текст примечания Знак"/>
    <w:link w:val="937"/>
    <w:uiPriority w:val="99"/>
    <w:rPr>
      <w:rFonts w:ascii="Calibri" w:hAnsi="Calibri" w:eastAsia="Calibri" w:cs="Times New Roman"/>
      <w:lang w:eastAsia="en-US"/>
    </w:rPr>
  </w:style>
  <w:style w:type="paragraph" w:styleId="937">
    <w:name w:val="annotation text"/>
    <w:basedOn w:val="719"/>
    <w:link w:val="936"/>
    <w:uiPriority w:val="99"/>
    <w:unhideWhenUsed/>
    <w:rPr>
      <w:rFonts w:ascii="Calibri" w:hAnsi="Calibri" w:eastAsia="Calibri"/>
      <w:lang w:val="en-US" w:eastAsia="en-US"/>
    </w:rPr>
  </w:style>
  <w:style w:type="character" w:styleId="938" w:customStyle="1">
    <w:name w:val="normal__char"/>
    <w:basedOn w:val="729"/>
  </w:style>
  <w:style w:type="character" w:styleId="939" w:customStyle="1">
    <w:name w:val="Стандартный HTML Знак"/>
    <w:basedOn w:val="729"/>
    <w:link w:val="940"/>
    <w:uiPriority w:val="99"/>
    <w:rPr>
      <w:rFonts w:ascii="Courier New" w:hAnsi="Courier New" w:cs="Courier New"/>
    </w:rPr>
  </w:style>
  <w:style w:type="paragraph" w:styleId="940">
    <w:name w:val="HTML Preformatted"/>
    <w:basedOn w:val="719"/>
    <w:link w:val="93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41" w:customStyle="1">
    <w:name w:val="Текст сноски Знак"/>
    <w:basedOn w:val="729"/>
    <w:link w:val="903"/>
    <w:uiPriority w:val="99"/>
  </w:style>
  <w:style w:type="paragraph" w:styleId="942">
    <w:name w:val="Normal (Web)"/>
    <w:basedOn w:val="719"/>
    <w:uiPriority w:val="99"/>
    <w:unhideWhenUsed/>
  </w:style>
  <w:style w:type="paragraph" w:styleId="943" w:customStyle="1">
    <w:name w:val="Название объекта3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hyperlink" Target="consultantplus://offline/ref=CB6E6B85655EE67F5F788466A73EA6C12C09CE4D38592A10AFC6B64F40AE0B6A30CD7C4C3E64BC06E96836DF42b7r6G" TargetMode="External"/><Relationship Id="rId16" Type="http://schemas.openxmlformats.org/officeDocument/2006/relationships/hyperlink" Target="https://login.consultant.ru/link/?req=doc&amp;base=LAW&amp;n=408518&amp;date=27.08.2025" TargetMode="External"/><Relationship Id="rId17" Type="http://schemas.openxmlformats.org/officeDocument/2006/relationships/hyperlink" Target="consultantplus://offline/ref=CB6E6B85655EE67F5F789A6BB152FBCA200295483A5D2747F294B0181FFE0D3F628D22157D27AF07EF7634DD427F3A40E1BF199EC1E7934FDCC08F90b9r2G" TargetMode="External"/><Relationship Id="rId18" Type="http://schemas.openxmlformats.org/officeDocument/2006/relationships/hyperlink" Target="consultantplus://offline/ref=CB6E6B85655EE67F5F789A6BB152FBCA200295483A5D2742F69BB0181FFE0D3F628D22157D27AF07EF7635DD417F3A40E1BF199EC1E7934FDCC08F90b9r2G" TargetMode="External"/><Relationship Id="rId19" Type="http://schemas.openxmlformats.org/officeDocument/2006/relationships/hyperlink" Target="consultantplus://offline/ref=CB6E6B85655EE67F5F789A6BB152FBCA200295483A5E294FF296B0181FFE0D3F628D22157D27AF07EF7634DE427F3A40E1BF199EC1E7934FDCC08F90b9r2G" TargetMode="External"/><Relationship Id="rId20" Type="http://schemas.openxmlformats.org/officeDocument/2006/relationships/hyperlink" Target="file:///C:\Users\Shchur-TV\Downloads\www.gorodperm.ru" TargetMode="External"/><Relationship Id="rId21" Type="http://schemas.openxmlformats.org/officeDocument/2006/relationships/hyperlink" Target="consultantplus://offline/ref=CB6E6B85655EE67F5F789A6BB152FBCA200295483A5E294FF296B0181FFE0D3F628D22157D27AF07EF7634DE487F3A40E1BF199EC1E7934FDCC08F90b9r2G" TargetMode="External"/><Relationship Id="rId22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3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4" Type="http://schemas.openxmlformats.org/officeDocument/2006/relationships/hyperlink" Target="consultantplus://offline/ref=CB6E6B85655EE67F5F788466A73EA6C12B01C24432582A10AFC6B64F40AE0B6A30CD7C4C3E64BC06E96836DF42b7r6G" TargetMode="External"/><Relationship Id="rId25" Type="http://schemas.openxmlformats.org/officeDocument/2006/relationships/hyperlink" Target="http://www.gorodperm.ru/" TargetMode="External"/><Relationship Id="rId26" Type="http://schemas.openxmlformats.org/officeDocument/2006/relationships/image" Target="media/image3.wmf"/><Relationship Id="rId27" Type="http://schemas.openxmlformats.org/officeDocument/2006/relationships/hyperlink" Target="consultantplus://offline/ref=2B16D41C8C950D0091338C0C7DDD7CD811EBED6485A0BC089993BE11B0B69AA9EBEB55348781B49108266042F2P745F" TargetMode="External"/><Relationship Id="rId2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9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30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31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32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33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34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35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36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37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38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9" Type="http://schemas.openxmlformats.org/officeDocument/2006/relationships/hyperlink" Target="https://login.consultant.ru/link/?req=doc&amp;base=RLAW368&amp;n=192073&amp;dst=100005" TargetMode="External"/><Relationship Id="rId40" Type="http://schemas.openxmlformats.org/officeDocument/2006/relationships/hyperlink" Target="https://login.consultant.ru/link/?req=doc&amp;base=RLAW368&amp;n=196762&amp;dst=100756" TargetMode="External"/><Relationship Id="rId41" Type="http://schemas.openxmlformats.org/officeDocument/2006/relationships/hyperlink" Target="http://www.gorodperm.ru" TargetMode="External"/><Relationship Id="rId42" Type="http://schemas.openxmlformats.org/officeDocument/2006/relationships/hyperlink" Target="consultantplus://offline/ref=E5E2C0FD53107AFE218F42BF60E2CABF54B117D8F3E55CC0015412304089078129650DFC82315013E92CDF8080H7H1I" TargetMode="External"/><Relationship Id="rId43" Type="http://schemas.openxmlformats.org/officeDocument/2006/relationships/hyperlink" Target="consultantplus://offline/ref=E5E2C0FD53107AFE218F5CB2768E97B45FB240D4FBE35F9F5C0414671FD901D47B2553A5C1724312EF32DD818A78DB66523889271B182F60E482120DHE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742C-32F2-42B2-AAB7-3B14EBE0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2025-08-28T13:07:00Z</dcterms:created>
  <dcterms:modified xsi:type="dcterms:W3CDTF">2025-08-29T09:09:52Z</dcterms:modified>
  <cp:version>786432</cp:version>
</cp:coreProperties>
</file>