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города Перми «Клуб имени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Златогорского» путем изменения типа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существующего муниципального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культуры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«Клуб имени Златогорского»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123.22 Гражданского кодекса Российской Федерации, Федеральными законами от 12 января 1996 г. № 7-ФЗ «О некоммерческих организациях», от 03 ноября 2006 г. № 174-ФЗ «Об</w:t>
      </w:r>
      <w:r>
        <w:rPr>
          <w:sz w:val="28"/>
          <w:szCs w:val="28"/>
        </w:rPr>
        <w:t xml:space="preserve"> автономных учреждениях», Уставом города Перми, постановлением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</w:t>
      </w:r>
      <w:r>
        <w:rPr>
          <w:sz w:val="28"/>
          <w:szCs w:val="28"/>
        </w:rPr>
        <w:t xml:space="preserve">еждений города Перми и внесения в них изменений»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муниципальное автономное учреждение культуры города Перми «Клуб имени Златогорского» путем изменения </w:t>
      </w:r>
      <w:r>
        <w:rPr>
          <w:sz w:val="28"/>
          <w:szCs w:val="28"/>
        </w:rPr>
        <w:t xml:space="preserve">типа</w:t>
      </w:r>
      <w:r>
        <w:rPr>
          <w:sz w:val="28"/>
          <w:szCs w:val="28"/>
        </w:rPr>
        <w:t xml:space="preserve"> существующего муниципального бюджетного учреждени</w:t>
      </w:r>
      <w:r>
        <w:rPr>
          <w:sz w:val="28"/>
          <w:szCs w:val="28"/>
        </w:rPr>
        <w:t xml:space="preserve">я культуры города Перми «Клуб имени Златогорского».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</w:t>
      </w:r>
      <w:bookmarkStart w:id="0" w:name="_Hlk204844696"/>
      <w:r>
        <w:rPr>
          <w:sz w:val="28"/>
          <w:szCs w:val="28"/>
        </w:rPr>
        <w:t xml:space="preserve">муниципального бюджетного учреждения</w:t>
      </w:r>
      <w:r>
        <w:t xml:space="preserve"> </w:t>
      </w:r>
      <w:r>
        <w:rPr>
          <w:sz w:val="28"/>
          <w:szCs w:val="28"/>
        </w:rPr>
        <w:t xml:space="preserve">культуры города Перми «Клуб имени Златогорского»</w:t>
      </w:r>
      <w:bookmarkEnd w:id="0"/>
      <w:r>
        <w:rPr>
          <w:sz w:val="28"/>
          <w:szCs w:val="28"/>
        </w:rPr>
        <w:t xml:space="preserve">, предусмотренные уставом данного муниципального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Сохранить преде</w:t>
      </w:r>
      <w:r>
        <w:rPr>
          <w:sz w:val="28"/>
          <w:szCs w:val="28"/>
        </w:rPr>
        <w:t xml:space="preserve">льную штатную численность муниципального бюджетного учреждения</w:t>
      </w:r>
      <w:r>
        <w:t xml:space="preserve"> </w:t>
      </w:r>
      <w:r>
        <w:rPr>
          <w:sz w:val="28"/>
          <w:szCs w:val="28"/>
        </w:rPr>
        <w:t xml:space="preserve">культуры города Перми «Клуб имени Златогорского».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муниципальное автономное учреждение культуры города Перми «Клуб имени Златогорского» является правопреемником по всем правам</w:t>
      </w:r>
      <w:r>
        <w:rPr>
          <w:sz w:val="28"/>
          <w:szCs w:val="28"/>
        </w:rPr>
        <w:t xml:space="preserve"> и обязанностям муниципального бюджетного учреждения культуры города Перми «Клуб имени Златогорского».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культуры и молодежной политики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установленном порядке осуществлять функции и полномочия учредителя муни</w:t>
      </w:r>
      <w:r>
        <w:rPr>
          <w:sz w:val="28"/>
          <w:szCs w:val="28"/>
        </w:rPr>
        <w:t xml:space="preserve">ципального автономного учреждения культуры города Перми «Клуб имени Златогорского»</w:t>
      </w:r>
      <w:r>
        <w:t xml:space="preserve"> </w:t>
      </w:r>
      <w:r>
        <w:rPr>
          <w:sz w:val="28"/>
          <w:szCs w:val="28"/>
        </w:rPr>
        <w:t xml:space="preserve">в соответствии с Положением об осуществлении функций и полномочий учредителя муниципального автономного учреждения города Перми, утвержденным постановлением администрации го</w:t>
      </w:r>
      <w:r>
        <w:rPr>
          <w:sz w:val="28"/>
          <w:szCs w:val="28"/>
        </w:rPr>
        <w:t xml:space="preserve">рода Перми от 22 января 2008 г. № 21;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подготовить, согласовать и утвердить в установленном порядке изменения, вносимые в устав муниципального бюджетного учреждения культуры города Перми «Клуб имени Златогорского», не позднее 15 декабря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3. осуществить контроль за своевременной государственной регистрацией изменений, вносимых в устав муниципального бюджетного учреждения культуры города Перми «Клуб имени Златогорского», представлением в департамент имущественных отношений администрации горо</w:t>
      </w:r>
      <w:r>
        <w:rPr>
          <w:sz w:val="28"/>
          <w:szCs w:val="28"/>
        </w:rPr>
        <w:t xml:space="preserve">да Перми, департамент финансов администрации города Перми копии листа записи о внесении изменений в Единый государственный реестр юридических лиц не позднее 5 рабочих дней со дня государственной регистрации таких изменений;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произвести иные юридически </w:t>
      </w:r>
      <w:r>
        <w:rPr>
          <w:sz w:val="28"/>
          <w:szCs w:val="28"/>
        </w:rPr>
        <w:t xml:space="preserve">значимые действия, связанные с изменением типа муниципального бюджетного учреждения культуры города Перми «Клуб имени Златогорского», до 31 декабря 2025 г.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Департаменту имущественных отношений администрации города Перми внести соответствующие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в реестр муниципального имущества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бюджетному учреждению культуры города Перми «Клуб имени Златогорского»: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письменно уведомить кредиторов о создании муниципального автономного учреждения культуры города Перми «Клуб и</w:t>
      </w:r>
      <w:r>
        <w:rPr>
          <w:sz w:val="28"/>
          <w:szCs w:val="28"/>
        </w:rPr>
        <w:t xml:space="preserve">мени Златогорского» путем изменения </w:t>
      </w:r>
      <w:r>
        <w:rPr>
          <w:sz w:val="28"/>
          <w:szCs w:val="28"/>
        </w:rPr>
        <w:t xml:space="preserve">типа</w:t>
      </w:r>
      <w:r>
        <w:rPr>
          <w:sz w:val="28"/>
          <w:szCs w:val="28"/>
        </w:rPr>
        <w:t xml:space="preserve"> существующего муниципального</w:t>
      </w:r>
      <w:r>
        <w:t xml:space="preserve"> </w:t>
      </w:r>
      <w:r>
        <w:rPr>
          <w:sz w:val="28"/>
          <w:szCs w:val="28"/>
        </w:rPr>
        <w:t xml:space="preserve">бюджетного учреждения культуры города Перми «Клуб имени Златогорского» не позднее 14 календарных дней со дня официального опубликования настоящего постановления;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произвести необх</w:t>
      </w:r>
      <w:r>
        <w:rPr>
          <w:sz w:val="28"/>
          <w:szCs w:val="28"/>
        </w:rPr>
        <w:t xml:space="preserve">одимые действия по государственной регистрации изменений, вносимых в устав муниципального бюджетного учреждения культуры города Перми «Клуб имени Златогорского», в течение 7 рабочих дней со дня утверждения таких изменений;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направить в Управление Федер</w:t>
      </w:r>
      <w:r>
        <w:rPr>
          <w:sz w:val="28"/>
          <w:szCs w:val="28"/>
        </w:rPr>
        <w:t xml:space="preserve">альной службы государственной регистрации, кадастра и картографии по Пермскому краю заявление о внесении изменений в сведения Единого государственного реестра недвижимости в отношении зарегистрированных прав на недвижимое имущество, находящееся в оперативн</w:t>
      </w:r>
      <w:r>
        <w:rPr>
          <w:sz w:val="28"/>
          <w:szCs w:val="28"/>
        </w:rPr>
        <w:t xml:space="preserve">ом управлении муниципального бюджетного учреждения культуры города Перми «Клуб имени Златогорского», в течение 14 календарных дней со дня государственной регистрации в Едином государственном реестре юридических лиц изменений в устав;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 xml:space="preserve">представить в департамент имущественных отношений администрации города Перми выписки из Единого государственного реестра недвижимости </w:t>
      </w:r>
      <w:r>
        <w:rPr>
          <w:sz w:val="28"/>
          <w:szCs w:val="28"/>
        </w:rPr>
        <w:br/>
        <w:t xml:space="preserve">с внесенными изменениями в течение </w:t>
      </w:r>
      <w:r>
        <w:rPr>
          <w:sz w:val="28"/>
          <w:szCs w:val="28"/>
        </w:rPr>
        <w:t xml:space="preserve">7</w:t>
      </w:r>
      <w:bookmarkStart w:id="1" w:name="_GoBack"/>
      <w:r/>
      <w:bookmarkEnd w:id="1"/>
      <w:r>
        <w:rPr>
          <w:sz w:val="28"/>
          <w:szCs w:val="28"/>
        </w:rPr>
        <w:t xml:space="preserve"> календарных дней со дня осуществления указанных изменений;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7.5. осуществить переофо</w:t>
      </w:r>
      <w:r>
        <w:rPr>
          <w:sz w:val="28"/>
          <w:szCs w:val="28"/>
        </w:rPr>
        <w:t xml:space="preserve">рмление правоустанавливающих и </w:t>
      </w:r>
      <w:r>
        <w:rPr>
          <w:sz w:val="28"/>
          <w:szCs w:val="28"/>
        </w:rPr>
        <w:t xml:space="preserve">правоудостоверяющих</w:t>
      </w:r>
      <w:r>
        <w:rPr>
          <w:sz w:val="28"/>
          <w:szCs w:val="28"/>
        </w:rPr>
        <w:t xml:space="preserve"> документов на земельный участок, предоставленный муниципальному бюджетному учреждению культуры города Перми «Клуб имени Златогорского», не позднее 60 календарных дней со дня государственной регистрации мун</w:t>
      </w:r>
      <w:r>
        <w:rPr>
          <w:sz w:val="28"/>
          <w:szCs w:val="28"/>
        </w:rPr>
        <w:t xml:space="preserve">иципального автономного учреждения культуры города Перми «Клуб имени Златогорского».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</w:t>
      </w:r>
      <w:r>
        <w:rPr>
          <w:sz w:val="28"/>
          <w:szCs w:val="28"/>
        </w:rPr>
        <w:t xml:space="preserve">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</w:t>
      </w:r>
      <w:r>
        <w:rPr>
          <w:sz w:val="28"/>
          <w:szCs w:val="28"/>
        </w:rPr>
        <w:t xml:space="preserve">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</w:t>
      </w:r>
      <w:r>
        <w:rPr>
          <w:sz w:val="28"/>
          <w:szCs w:val="28"/>
        </w:rPr>
        <w:t xml:space="preserve">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7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7"/>
    <w:link w:val="741"/>
    <w:uiPriority w:val="10"/>
    <w:rPr>
      <w:sz w:val="48"/>
      <w:szCs w:val="48"/>
    </w:rPr>
  </w:style>
  <w:style w:type="character" w:styleId="711">
    <w:name w:val="Subtitle Char"/>
    <w:basedOn w:val="727"/>
    <w:link w:val="743"/>
    <w:uiPriority w:val="11"/>
    <w:rPr>
      <w:sz w:val="24"/>
      <w:szCs w:val="24"/>
    </w:rPr>
  </w:style>
  <w:style w:type="character" w:styleId="712">
    <w:name w:val="Quote Char"/>
    <w:link w:val="745"/>
    <w:uiPriority w:val="29"/>
    <w:rPr>
      <w:i/>
    </w:rPr>
  </w:style>
  <w:style w:type="character" w:styleId="713">
    <w:name w:val="Intense Quote Char"/>
    <w:link w:val="747"/>
    <w:uiPriority w:val="30"/>
    <w:rPr>
      <w:i/>
    </w:rPr>
  </w:style>
  <w:style w:type="character" w:styleId="714">
    <w:name w:val="Caption Char"/>
    <w:basedOn w:val="727"/>
    <w:link w:val="753"/>
    <w:uiPriority w:val="35"/>
    <w:rPr>
      <w:b/>
      <w:bCs/>
      <w:color w:val="4f81bd" w:themeColor="accent1"/>
      <w:sz w:val="18"/>
      <w:szCs w:val="18"/>
    </w:rPr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link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4" w:customStyle="1">
    <w:name w:val="Название объекта Знак"/>
    <w:link w:val="753"/>
    <w:uiPriority w:val="35"/>
    <w:rPr>
      <w:b/>
      <w:bCs/>
      <w:color w:val="4f81bd" w:themeColor="accent1"/>
      <w:sz w:val="18"/>
      <w:szCs w:val="18"/>
    </w:rPr>
  </w:style>
  <w:style w:type="table" w:styleId="755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paragraph" w:styleId="899">
    <w:name w:val="Body Text"/>
    <w:basedOn w:val="717"/>
    <w:link w:val="923"/>
    <w:pPr>
      <w:ind w:right="3117"/>
    </w:pPr>
    <w:rPr>
      <w:rFonts w:ascii="Courier New" w:hAnsi="Courier New"/>
      <w:sz w:val="26"/>
    </w:rPr>
  </w:style>
  <w:style w:type="paragraph" w:styleId="900">
    <w:name w:val="Body Text Indent"/>
    <w:basedOn w:val="717"/>
    <w:pPr>
      <w:ind w:right="-1"/>
      <w:jc w:val="both"/>
    </w:pPr>
    <w:rPr>
      <w:sz w:val="26"/>
    </w:rPr>
  </w:style>
  <w:style w:type="character" w:styleId="901">
    <w:name w:val="page number"/>
    <w:basedOn w:val="727"/>
  </w:style>
  <w:style w:type="paragraph" w:styleId="902">
    <w:name w:val="Balloon Text"/>
    <w:basedOn w:val="717"/>
    <w:link w:val="903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749"/>
    <w:uiPriority w:val="99"/>
  </w:style>
  <w:style w:type="numbering" w:styleId="905" w:customStyle="1">
    <w:name w:val="Нет списка1"/>
    <w:next w:val="729"/>
    <w:uiPriority w:val="99"/>
    <w:semiHidden/>
    <w:unhideWhenUsed/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  <w:lang w:eastAsia="ru-RU"/>
    </w:rPr>
  </w:style>
  <w:style w:type="character" w:styleId="923" w:customStyle="1">
    <w:name w:val="Основной текст Знак"/>
    <w:link w:val="899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  <w:lang w:eastAsia="ru-RU"/>
    </w:rPr>
  </w:style>
  <w:style w:type="numbering" w:styleId="925" w:customStyle="1">
    <w:name w:val="Нет списка11"/>
    <w:next w:val="729"/>
    <w:uiPriority w:val="99"/>
    <w:semiHidden/>
    <w:unhideWhenUsed/>
  </w:style>
  <w:style w:type="numbering" w:styleId="926" w:customStyle="1">
    <w:name w:val="Нет списка111"/>
    <w:next w:val="729"/>
    <w:uiPriority w:val="99"/>
    <w:semiHidden/>
    <w:unhideWhenUsed/>
  </w:style>
  <w:style w:type="paragraph" w:styleId="927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29"/>
    <w:uiPriority w:val="99"/>
    <w:semiHidden/>
    <w:unhideWhenUsed/>
  </w:style>
  <w:style w:type="numbering" w:styleId="975" w:customStyle="1">
    <w:name w:val="Нет списка3"/>
    <w:next w:val="729"/>
    <w:uiPriority w:val="99"/>
    <w:semiHidden/>
    <w:unhideWhenUsed/>
  </w:style>
  <w:style w:type="paragraph" w:styleId="976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29"/>
    <w:uiPriority w:val="99"/>
    <w:semiHidden/>
    <w:unhideWhenUsed/>
  </w:style>
  <w:style w:type="character" w:styleId="980" w:customStyle="1">
    <w:name w:val="Нижний колонтитул Знак"/>
    <w:link w:val="75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2025-08-25T05:38:00Z</dcterms:created>
  <dcterms:modified xsi:type="dcterms:W3CDTF">2025-09-01T09:46:19Z</dcterms:modified>
  <cp:version>983040</cp:version>
</cp:coreProperties>
</file>