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103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7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4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6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4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7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4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6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5"/>
        <w:spacing w:line="240" w:lineRule="exac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определения объема и условий предоставления субсидий на иные це</w:t>
      </w:r>
      <w:r>
        <w:rPr>
          <w:b/>
          <w:bCs/>
          <w:sz w:val="28"/>
          <w:szCs w:val="28"/>
          <w:highlight w:val="none"/>
        </w:rPr>
        <w:t xml:space="preserve">ли </w:t>
      </w:r>
      <w:r>
        <w:rPr>
          <w:b/>
          <w:bCs/>
          <w:sz w:val="28"/>
          <w:szCs w:val="28"/>
          <w:highlight w:val="none"/>
        </w:rPr>
        <w:t xml:space="preserve">бюджетным и автономным учреждениям на организацию и проведение межмуниципальных, региона</w:t>
      </w:r>
      <w:r>
        <w:rPr>
          <w:b/>
          <w:bCs/>
          <w:sz w:val="28"/>
          <w:szCs w:val="28"/>
          <w:highlight w:val="none"/>
        </w:rPr>
        <w:t xml:space="preserve">льных, межрегиональных, всероссийских и международных официальных </w:t>
      </w:r>
      <w:r>
        <w:rPr>
          <w:b/>
          <w:bCs/>
          <w:sz w:val="28"/>
          <w:szCs w:val="28"/>
          <w:highlight w:val="none"/>
        </w:rPr>
        <w:t xml:space="preserve">физкультурно-оздоровительных и спортивных мероприятий, проводимых на территории Пермского городского округа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абзацем вторым пункта 1 статьи 78.1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</w:t>
      </w:r>
      <w:r>
        <w:rPr>
          <w:sz w:val="28"/>
          <w:szCs w:val="28"/>
        </w:rPr>
        <w:t xml:space="preserve">танавливающим порядок определения объема и условия предоста</w:t>
      </w:r>
      <w:r>
        <w:rPr>
          <w:sz w:val="28"/>
          <w:szCs w:val="28"/>
          <w:highlight w:val="none"/>
        </w:rPr>
        <w:t xml:space="preserve">вления бюджетным и автономным учреждениям субсидий на иные цели», постановлением администрации города Перми </w:t>
      </w:r>
      <w:r>
        <w:rPr>
          <w:sz w:val="28"/>
          <w:szCs w:val="28"/>
          <w:highlight w:val="none"/>
        </w:rPr>
        <w:br/>
        <w:t xml:space="preserve">от 25 августа 2020 г. № 137 «Об установлении расходного обязательст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а города Перми на 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Утвердить прилагаемый </w:t>
      </w:r>
      <w:hyperlink w:tooltip="ПОРЯДОК" w:anchor="Par37" w:history="1">
        <w:r>
          <w:rPr>
            <w:sz w:val="28"/>
            <w:szCs w:val="28"/>
            <w:highlight w:val="none"/>
          </w:rPr>
          <w:t xml:space="preserve">Порядок</w:t>
        </w:r>
      </w:hyperlink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определения объема и условий предоставления субсидий на иные це</w:t>
      </w:r>
      <w:r>
        <w:rPr>
          <w:sz w:val="28"/>
          <w:szCs w:val="28"/>
        </w:rPr>
        <w:t xml:space="preserve">ли бюджетным и автономным учреждениям на организацию и проведение </w:t>
      </w:r>
      <w:r>
        <w:rPr>
          <w:sz w:val="28"/>
          <w:szCs w:val="28"/>
        </w:rPr>
        <w:t xml:space="preserve">межмуниципальных, региональных, межрегиональных, всероссийских и международных официальных физкультурно-оздоровительных и сп</w:t>
      </w:r>
      <w:r>
        <w:rPr>
          <w:sz w:val="28"/>
          <w:szCs w:val="28"/>
          <w:highlight w:val="none"/>
        </w:rPr>
        <w:t xml:space="preserve">ортивных мероприятий, проводимых на территории Пермского городского округа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обнародован</w:t>
      </w:r>
      <w:r>
        <w:rPr>
          <w:sz w:val="28"/>
          <w:szCs w:val="28"/>
        </w:rPr>
        <w:t xml:space="preserve">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c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jc w:val="both"/>
      </w:pPr>
      <w:r/>
      <w:r/>
    </w:p>
    <w:p>
      <w:pPr>
        <w:pStyle w:val="1018"/>
        <w:jc w:val="both"/>
      </w:pPr>
      <w:r/>
      <w:r/>
    </w:p>
    <w:p>
      <w:pPr>
        <w:pStyle w:val="1018"/>
        <w:jc w:val="both"/>
      </w:pPr>
      <w:r/>
      <w:r/>
    </w:p>
    <w:p>
      <w:pPr>
        <w:pStyle w:val="1077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0" w:name="Par37"/>
      <w:r>
        <w:rPr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77"/>
        <w:jc w:val="center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определения объема и условий предоставления субсидий на иные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бюджетным и автономным учреждениям на организацию и проведение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межмуниципальных, региональных, межрегиональных, всероссийских </w:t>
        <w:br/>
        <w:t xml:space="preserve">и международных официальных физкультурно-оздоровительных </w:t>
        <w:br/>
        <w:t xml:space="preserve">и спортивных мероприятий, проводимых на территории </w:t>
        <w:br/>
        <w:t xml:space="preserve">Пермского городского округа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8"/>
        <w:jc w:val="both"/>
      </w:pPr>
      <w:r/>
      <w:r/>
    </w:p>
    <w:p>
      <w:pPr>
        <w:pStyle w:val="1077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 о предоставлении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both"/>
      </w:pPr>
      <w:r/>
      <w:r/>
    </w:p>
    <w:p>
      <w:pPr>
        <w:pStyle w:val="1018"/>
        <w:ind w:firstLine="720"/>
        <w:jc w:val="both"/>
        <w:rPr>
          <w:highlight w:val="green"/>
        </w:rPr>
      </w:pPr>
      <w:r>
        <w:rPr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1.1. Настоящий Порядок определяет объем и условия предоставления субсидий на иные цели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юджетным и автономным учреждениям на организацию и проведение межмуниципальных, региональных, межрегиональных, всероссийских и международных официальных физкультурно-оздоровительных и спортивных мероприятий, проводимых на территории Пермского городского 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руга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комитет по физической культуре и спорту администрации города Перми осуществляет функции и полномочия учредителя (далее – Порядок, субсидии на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иные цели, Учреждения, Комитет).</w:t>
      </w:r>
      <w:r>
        <w:rPr>
          <w:highlight w:val="green"/>
        </w:rPr>
      </w:r>
      <w:r>
        <w:rPr>
          <w:highlight w:val="green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1.2. </w:t>
      </w:r>
      <w:r>
        <w:rPr>
          <w:color w:val="000000" w:themeColor="text1"/>
          <w:highlight w:val="none"/>
        </w:rPr>
        <w:t xml:space="preserve">Ц</w:t>
      </w:r>
      <w:r>
        <w:rPr>
          <w:color w:val="000000" w:themeColor="text1"/>
          <w:highlight w:val="none"/>
        </w:rPr>
        <w:t xml:space="preserve">елью предоставления субсидии на иные цели является пропаганда здорового образа жизни, приобщение населения к активным занятиям физической культурой и спортом, повышение спортивного мастерства и выявление сильнейших спортсменов в рамках выполнения муниципал</w:t>
      </w:r>
      <w:r>
        <w:rPr>
          <w:color w:val="000000" w:themeColor="text1"/>
          <w:highlight w:val="none"/>
        </w:rPr>
        <w:t xml:space="preserve">ьной программы «Развитие физической культуры и спорта города Перми».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highlight w:val="none"/>
        </w:rPr>
      </w:r>
      <w:bookmarkStart w:id="1" w:name="Par63"/>
      <w:r>
        <w:rPr>
          <w:highlight w:val="none"/>
        </w:rPr>
      </w:r>
      <w:bookmarkEnd w:id="1"/>
      <w:r>
        <w:rPr>
          <w:color w:val="000000" w:themeColor="text1"/>
          <w:highlight w:val="none"/>
        </w:rPr>
        <w:t xml:space="preserve">1.3. </w:t>
      </w:r>
      <w:r>
        <w:rPr>
          <w:color w:val="000000" w:themeColor="text1"/>
          <w:highlight w:val="none"/>
        </w:rPr>
        <w:t xml:space="preserve">С</w:t>
      </w:r>
      <w:r>
        <w:rPr>
          <w:color w:val="000000" w:themeColor="text1"/>
          <w:highlight w:val="none"/>
        </w:rPr>
        <w:t xml:space="preserve">убсидии на иные цели предоставляются Учреждениям в пределах бюджетных ассигнований, утвержденных решением Пермской городской Думы о бюджете города Перми на текущий финансовый год и плановый период, </w:t>
      </w:r>
      <w:r>
        <w:rPr>
          <w:color w:val="000000" w:themeColor="text1"/>
          <w:highlight w:val="none"/>
        </w:rPr>
        <w:t xml:space="preserve">в рамках выполнения мероприятий муниципальной программы «Р</w:t>
      </w:r>
      <w:r>
        <w:rPr>
          <w:color w:val="000000" w:themeColor="text1"/>
          <w:highlight w:val="none"/>
        </w:rPr>
        <w:t xml:space="preserve">азвитие физической культуры и спорта города Перми».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jc w:val="both"/>
        <w:rPr>
          <w:highlight w:val="green"/>
        </w:rPr>
      </w:pPr>
      <w:r>
        <w:rPr>
          <w:highlight w:val="green"/>
        </w:rPr>
      </w:r>
      <w:r>
        <w:rPr>
          <w:highlight w:val="green"/>
        </w:rPr>
      </w:r>
      <w:r>
        <w:rPr>
          <w:highlight w:val="green"/>
        </w:rPr>
      </w:r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II. Условия и порядок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highlight w:val="none"/>
        </w:rPr>
        <w:t xml:space="preserve">2.1. </w:t>
      </w:r>
      <w:r>
        <w:rPr>
          <w:highlight w:val="none"/>
        </w:rPr>
        <w:t xml:space="preserve">Для получения субсидий на иные цели Учреждения направляют в Комитет: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заявку на получение субсидий на иные цели по форме согласно приложению 1 к настоящему Порядку, подписанную руководителем Учреждения;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пояснительную записку, содержащую обоснование необходимости предоставления субсидий на иные цели;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расчет-обоснование суммы субсидии на иные цели согласно приложению 2 к настоящему Порядку;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предварительную смету на организацию и проведение официальных физкультурно-оздоровительных и спортивных мероприятий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а также коммерческие предложения с приложением не менее трех ценовых информаций;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программу мероприятий – проект положения (регламента)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проведении официальных физкультурно-оздоровительных и спортивных мероприятий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включающий информацию об организаторе, периоде и месте проведения.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</w:t>
      </w:r>
      <w:r>
        <w:rPr>
          <w:color w:val="000000" w:themeColor="text1"/>
          <w:highlight w:val="none"/>
        </w:rPr>
        <w:t xml:space="preserve">.2. Для рассмотрения представленных Учреждениями заявок Комитетом создается комиссия, состоящая из числа муниципальных служащих Комитета и директора муниципального казенного учреждения «Центр бухгалтерского учета и отчетности в сфере физической культуры и </w:t>
      </w:r>
      <w:r>
        <w:rPr>
          <w:color w:val="000000" w:themeColor="text1"/>
          <w:highlight w:val="none"/>
        </w:rPr>
        <w:t xml:space="preserve">спорта» города Перми (далее - Комиссия). Порядок формирования и работы Комиссии, ее полномочия и состав утверждаются приказом председателя Комитета.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</w:t>
      </w:r>
      <w:r>
        <w:rPr>
          <w:color w:val="000000" w:themeColor="text1"/>
          <w:highlight w:val="none"/>
        </w:rPr>
        <w:t xml:space="preserve">.3. Комиссия в течение 30 календарных дней со дня поступления документов, представленных Учреждениями в соответствии с пунктом 2.1 настоящего Порядка, рассматривает и осуществляет оценку представленных документов и принимает решение о предоставлении субсид</w:t>
      </w:r>
      <w:r>
        <w:rPr>
          <w:color w:val="000000" w:themeColor="text1"/>
          <w:highlight w:val="none"/>
        </w:rPr>
        <w:t xml:space="preserve">ий на иные цели или об отказе в предоставлении субсидий на иные цели.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Решение Комиссии об отказе в предоставлении субсидий на иные цели доводится до сведения руководителей Учреждений в течение 2 рабочих дней со дня принятия такого решения посредством направления выписки из протокола.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В</w:t>
      </w:r>
      <w:r>
        <w:rPr>
          <w:color w:val="000000" w:themeColor="text1"/>
          <w:highlight w:val="none"/>
        </w:rPr>
        <w:t xml:space="preserve"> случае отказа в предоставлении субсидий на иные цели Учреждения вправе повторно представить в Комитет документы, предусмотренные пунктом 2.1 настоящего Порядка. Рассмотрение повторно представленных документов осуществляется в сроки, установленные настоящи</w:t>
      </w:r>
      <w:r>
        <w:rPr>
          <w:color w:val="000000" w:themeColor="text1"/>
          <w:highlight w:val="none"/>
        </w:rPr>
        <w:t xml:space="preserve">м Порядком.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2.4. Комиссия после принятия решения о предоставлении субсидий на иные цели: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2.4.1. производит расчет размера субсидий на иные цели для Учреждений в соответствии с представленными документами;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2.4.2. оформляет протокол, который отражает сведения об объеме предоставляемых субсидий на иные цели в разрезе Учреждений. Протокол подписывается всеми членами Комиссии в день принятия решения.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Решение Комиссии доводится до сведения руководителей Учреждений в течение 2 рабочих дней со дня принятия такого решения посредством направления выписки из протокола;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2.4.3. Комитет в течение 1 рабочего дня со дня подписания протокола обеспечивает подготовку и подписание приказа, устанавливающего размер субсидий на иные цели для Учреждений в соответствии с указанным протоколом;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2.4.4. при необходимости изменения утвержденных объемов субсидий на иные цели в течение текущего года Учреждения ежеквартально направляют в Комитет документы, указанные в пункте 2.1 настоящего Порядка, в следующие сроки: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I-III кварталы - до 30 числа месяца, следующего за кварталом;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IV квартал - до 01 декабря текущего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2.5. Требования, которым Учреждения должны соответствовать на 01 число месяца, предшествующего месяцу, в котором планируется заключение соглашения о предоставлении субсидий на иные цели: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2.6. Основания для отказа Учреждениям в предоставлении субсидии на иные цели: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несоответствие представленных Учреждениями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недостоверность информации, содержащейся в документах, представленных Учреждениями в соответствии с пунктом 2.1 настоящего Порядка.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green"/>
        </w:rPr>
      </w:pPr>
      <w:r>
        <w:rPr>
          <w:color w:val="000000" w:themeColor="text1"/>
          <w:highlight w:val="none"/>
        </w:rPr>
      </w:r>
      <w:r>
        <w:t xml:space="preserve">2.7. Размер субсидий на иные</w:t>
      </w:r>
      <w:r>
        <w:t xml:space="preserve"> цели при организации и проведении официальных физкультурно-оздоровительных и спортивных мероприятий определяется исходя из планируемого количества участников физкультурно-оздоровительных и спортивных мероприятий, указанных в документах,</w:t>
      </w:r>
      <w:r>
        <w:br/>
        <w:t xml:space="preserve">и нормативов на ор</w:t>
      </w:r>
      <w:r>
        <w:t xml:space="preserve">ганизацию и проведение физкультурных и спортивных мероприятий на территории города Перми согласно календарному плану, утвержденных постановлением администрации города Перми от 20 апреля 2017 г. № 304 «Об утверждении Порядка расчета нормативов на организаци</w:t>
      </w:r>
      <w:r>
        <w:t xml:space="preserve">ю</w:t>
      </w:r>
      <w:r>
        <w:br/>
        <w:t xml:space="preserve">и проведение физкультурных и спортивных мероприятий на территории города Перми согласно календарному плану города Перми, организацию и проведение </w:t>
      </w:r>
      <w:r>
        <w:t xml:space="preserve">физкультурных мероприятий, спортивно-массовой работы согласно календарным планам районов города Перми».</w:t>
      </w:r>
      <w:r>
        <w:rPr>
          <w:highlight w:val="green"/>
        </w:rPr>
      </w:r>
      <w:r>
        <w:rPr>
          <w:highlight w:val="green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</w:t>
      </w:r>
      <w:r>
        <w:rPr>
          <w:color w:val="000000" w:themeColor="text1"/>
          <w:highlight w:val="none"/>
        </w:rPr>
        <w:t xml:space="preserve">.8. Субсидии на иные цели предоставляются в соответствии с соглашением о предоставлении субсидии из бюджета города Перми (далее - Соглашение), заключенным между Комитетом и Учреждением по типовой форме, утвержденной распоряжением начальника департамента фи</w:t>
      </w:r>
      <w:r>
        <w:rPr>
          <w:color w:val="000000" w:themeColor="text1"/>
          <w:highlight w:val="none"/>
        </w:rPr>
        <w:t xml:space="preserve">нансов администрации города Перми (далее - типовая форма).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Заключение Соглашения на очередной год и плановый период осуществляется Комитетом не позднее 10 рабочих дней со дня вступления в силу решения Пермской городской Думы о бюджете города Перми на очередной финансовый год и плановый период.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</w:rPr>
        <w:t xml:space="preserve">В случае внесения изменений в решение Пермской городской Думы </w:t>
      </w:r>
      <w:r>
        <w:rPr>
          <w:sz w:val="28"/>
          <w:szCs w:val="28"/>
        </w:rPr>
        <w:br/>
        <w:t xml:space="preserve">о бюджете города Перми в течение года заключение Соглашения осуществляется Комитетом в течение 10 рабочих дней со дня вступления</w:t>
      </w:r>
      <w:r>
        <w:t xml:space="preserve"> </w:t>
      </w:r>
      <w:r>
        <w:rPr>
          <w:sz w:val="28"/>
          <w:szCs w:val="28"/>
        </w:rPr>
        <w:t xml:space="preserve">в силу изменений </w:t>
      </w:r>
      <w:r>
        <w:rPr>
          <w:sz w:val="28"/>
          <w:szCs w:val="28"/>
        </w:rPr>
        <w:br/>
        <w:t xml:space="preserve">в решение Пермской городской Думы о бюджете города Перми.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2.9. Условиями заключения Соглашений являются: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соответствие Учреждений требованиям, установленным пунктом 2.5 настоящего Порядка;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очередной финансовый год и плановый период, в муниципальной программе «Развитие физической культуры и спорта города Перми».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2.10. В случаях, установленных Соглашением, заключаются дополнительные соглашения, предусматривающие внесение в него изменений или его расторжение, в соответствии с типовой формой.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П</w:t>
      </w:r>
      <w:r>
        <w:rPr>
          <w:color w:val="000000" w:themeColor="text1"/>
          <w:highlight w:val="none"/>
        </w:rPr>
        <w:t xml:space="preserve">ри внесении изменений в настоящий Порядок, муниципальную программу «Развитие физической культуры и спорта города Перми», сводную бюджетную роспись, требующих внесения изменений в Соглашение, дополнительные соглашения заключаются в течение 10 рабочих дней с</w:t>
      </w:r>
      <w:r>
        <w:rPr>
          <w:color w:val="000000" w:themeColor="text1"/>
          <w:highlight w:val="none"/>
        </w:rPr>
        <w:t xml:space="preserve">о дня вступления в силу изменений в сводную бюджетную роспись и указанные правовые акты.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2.11. Субсидии на иные цели перечисляются Учреждениям в сроки, установленные Соглашением. Периодичность перечисления субсидий на иные цели - ежемесячно.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2.12.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2.13. Субсидии на иные цели Учреждениям предоставляются путем перечисления Комитетом денежных средств на отдельные лицевые счета Учреждений, открытые в департаменте финансов администрации города Перми в установленном порядке.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2.14. Субсидия предоставляется по следующим направлениям расходов:</w:t>
      </w:r>
      <w:r>
        <w:rPr>
          <w:highlight w:val="none"/>
        </w:rPr>
      </w:r>
      <w:r>
        <w:rPr>
          <w:highlight w:val="none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организация и проведение официальных физкультурно-оздоровительных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мероприятий на территории города Перми;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организация и проведение официальных спортивных мероприятий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на территории города Перми.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18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2.15. Результатом предоставления субсидий на иные цели является количество проведенных официальных физкультурно-оздоровительных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 спортивных мероприятий.</w:t>
      </w:r>
      <w:r>
        <w:rPr>
          <w:highlight w:val="none"/>
        </w:rPr>
      </w:r>
    </w:p>
    <w:p>
      <w:pPr>
        <w:pStyle w:val="1018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2.16. Для достижения результата предоставления субсидий на иные цели Соглашением </w:t>
      </w:r>
      <w:r>
        <w:rPr>
          <w:color w:val="000000" w:themeColor="text1"/>
          <w:highlight w:val="none"/>
        </w:rPr>
        <w:t xml:space="preserve">устанавливается план мероприятий по достижению результата предоставления субсидий на иные цели.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Требования к отчетности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18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3.1. Учреждения по форме, установленной в Соглашениях, представляют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в Комитет следующие отчеты (далее – Отчеты):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 о расходах, источником финансового обеспечения которых является субсидия на иные цели, в срок не позднее 30 д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  <w:t xml:space="preserve">екабря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  <w:t xml:space="preserve">текущего года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</w:p>
    <w:p>
      <w:pPr>
        <w:pStyle w:val="1077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  <w:t xml:space="preserve">отчет о достижении значений результатов предоставления субсидий на иные цели в срок не позднее 30 декабря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  <w:t xml:space="preserve">текущего года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</w:p>
    <w:p>
      <w:pPr>
        <w:pStyle w:val="1018"/>
        <w:ind w:firstLine="720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  <w:t xml:space="preserve">отчет о ре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  <w:t xml:space="preserve">ализации плана мероприятий по достижению результатов предоставления субсидии на иные цели в срок не по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зднее 10 числа месяца, следующего за отчетным кварталом.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/>
    </w:p>
    <w:p>
      <w:pPr>
        <w:pStyle w:val="1018"/>
        <w:ind w:firstLine="720"/>
        <w:jc w:val="both"/>
      </w:pPr>
      <w:r>
        <w:rPr>
          <w:color w:val="000000" w:themeColor="text1"/>
        </w:rPr>
        <w:t xml:space="preserve">3.2. Ответственность за своевременностью представления Отчетов и достоверностью отчетных данных возлагается на руководителя Учреждения.</w:t>
      </w:r>
      <w:r>
        <w:rPr>
          <w:color w:val="000000" w:themeColor="text1"/>
        </w:rPr>
      </w:r>
      <w:r/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ребования об осуществлении контроля за соблюдением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и порядка предоставления субсидии и ответственности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77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их нарушение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ind w:firstLine="720"/>
        <w:jc w:val="both"/>
      </w:pPr>
      <w:r/>
      <w:r/>
    </w:p>
    <w:p>
      <w:pPr>
        <w:pStyle w:val="1018"/>
        <w:ind w:firstLine="720"/>
        <w:jc w:val="both"/>
      </w:pPr>
      <w:r>
        <w:t xml:space="preserve">4.1. Комитет и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  <w:r/>
    </w:p>
    <w:p>
      <w:pPr>
        <w:pStyle w:val="1018"/>
        <w:ind w:firstLine="720"/>
        <w:jc w:val="both"/>
      </w:pPr>
      <w:r>
        <w:t xml:space="preserve">4.1.1. Комитет  проводит  мониторинг достижения значений результатов </w:t>
      </w:r>
      <w:r>
        <w:t xml:space="preserve">предоставления субсидий на иные цели, определенных Соглашением, и событий, </w:t>
      </w:r>
      <w:r>
        <w:t xml:space="preserve">отражающих факт завершения соответствующего мероприятия по получению </w:t>
      </w:r>
      <w:r>
        <w:t xml:space="preserve">результата предоставления субсидий на иные цели (контрольная точка), в </w:t>
      </w:r>
      <w:r>
        <w:t xml:space="preserve">порядке и по формам, установленным Порядком  проведения  мониторинга </w:t>
      </w:r>
      <w:r>
        <w:t xml:space="preserve">достижения результатов предоставления субсидий, в том числе грантов в форме </w:t>
      </w:r>
      <w:r>
        <w:t xml:space="preserve">субсидий, юридическим лицам, в том  числе бюджетным и автономным</w:t>
      </w:r>
      <w:r>
        <w:t xml:space="preserve"> учреждениям, индивидуальным предпринимателям, физическим лицам -</w:t>
      </w:r>
      <w:r>
        <w:t xml:space="preserve"> производителям товаров, работ, услуг, утвержденным приказом Министерства </w:t>
      </w:r>
      <w:r>
        <w:t xml:space="preserve">финансов Российской Федерации от 27 апреля 2024 г. № 53н.</w:t>
      </w:r>
      <w:r/>
    </w:p>
    <w:p>
      <w:pPr>
        <w:pStyle w:val="1018"/>
        <w:ind w:firstLine="720"/>
        <w:jc w:val="both"/>
        <w:rPr>
          <w:highlight w:val="none"/>
        </w:rPr>
      </w:pPr>
      <w:r>
        <w:t xml:space="preserve">4.2. Учреждения несут ответственность за несоблюдение целей и условий их предоставления, установленных настоящим Порядком.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</w:pPr>
      <w:r>
        <w:rPr>
          <w:highlight w:val="none"/>
        </w:rPr>
        <w:t xml:space="preserve">4</w:t>
      </w:r>
      <w:r>
        <w:rPr>
          <w:highlight w:val="none"/>
        </w:rPr>
        <w:t xml:space="preserve">.3. В случае несоблюдения Учреждениями целей и условий, установленных при предоставлении субсидии на иные цели, выявленного по результатам проверок, проведенных Комитетом и органом муниципального финансового контроля, данные средства подлежат возврату в бю</w:t>
      </w:r>
      <w:r>
        <w:rPr>
          <w:highlight w:val="none"/>
        </w:rPr>
        <w:t xml:space="preserve">джет города Перми в следующие сроки: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на основании требования Комитета - в течение 30 календарных дней со дня получения Учреждениями соответствующего требования;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на основании представления и (или) предписания органа муниципального финансового контроля - в срок, установленный в соответствии с бюджетным законодательством Российской Федерации.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В случае невыполнения Учреждениями требований о возврате субсидий на иные цели Комитет обеспечивает взыскание субсидий в судебном порядке в соответствии с действующим законодательством.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4</w:t>
      </w:r>
      <w:r>
        <w:rPr>
          <w:highlight w:val="none"/>
        </w:rPr>
        <w:t xml:space="preserve">.4. В случае недостижения результата предоставления субсидий на иные цели, установленного пунктом 2.15 настоящего Порядка, субсидии на иные цели подлежат возврату в доход бюджета города Перми в течение 10 рабочих дней со дня выявления указанного недостижен</w:t>
      </w:r>
      <w:r>
        <w:rPr>
          <w:highlight w:val="none"/>
        </w:rPr>
        <w:t xml:space="preserve">ия.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4</w:t>
      </w:r>
      <w:r>
        <w:rPr>
          <w:highlight w:val="none"/>
        </w:rPr>
        <w:t xml:space="preserve">.5. Остатки субсидий на иные цели по состоянию на 1 января очередного финансового года, не использованные в текущем финансовом году, подлежат перечислению Учреждениями в доход бюджета города Перми не позднее первых 4 рабочих дней очередного финансового год</w:t>
      </w:r>
      <w:r>
        <w:rPr>
          <w:highlight w:val="none"/>
        </w:rPr>
        <w:t xml:space="preserve">а.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О</w:t>
      </w:r>
      <w:r>
        <w:rPr>
          <w:highlight w:val="none"/>
        </w:rPr>
        <w:t xml:space="preserve">статки субсидий на иные цели, перечисленные Учреждениями в доход бюджета города Перми, возвращаются Учреждениям в очередном финансовом году при наличии потребности в направлении их на те же цели в соответствии с решением Комитета, оформленным приказом пред</w:t>
      </w:r>
      <w:r>
        <w:rPr>
          <w:highlight w:val="none"/>
        </w:rPr>
        <w:t xml:space="preserve">седателя Комитета.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Р</w:t>
      </w:r>
      <w:r>
        <w:rPr>
          <w:highlight w:val="none"/>
        </w:rPr>
        <w:t xml:space="preserve">ешение о возврате остатков субсидий на иные цели принимается Комитетом по итогам рассмотрения запросов Учреждений, представленных в Комитет до 1 февраля текущего года и отражающих причины образования неиспользованных остатков и необходимости их использован</w:t>
      </w:r>
      <w:r>
        <w:rPr>
          <w:highlight w:val="none"/>
        </w:rPr>
        <w:t xml:space="preserve">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Комитет принимает решение о возврате остатков субсидий на иные цели в течение 20 рабочих дней с момента поступления указанной в абзаце третьем настоящего пункта информации, но не позднее 20 мая текущего года.</w:t>
      </w:r>
      <w:r>
        <w:rPr>
          <w:highlight w:val="none"/>
        </w:rPr>
      </w:r>
      <w:r/>
    </w:p>
    <w:p>
      <w:pPr>
        <w:pStyle w:val="1018"/>
        <w:ind w:firstLine="720"/>
        <w:jc w:val="both"/>
        <w:rPr>
          <w:highlight w:val="none"/>
        </w:rPr>
      </w:pPr>
      <w:r>
        <w:rPr>
          <w:highlight w:val="none"/>
        </w:rPr>
        <w:t xml:space="preserve">В случае если Учреждением не обоснована потребность в направлении остатков субсидий на иные цели, они считаются неподтвержденными и не подлежат возврату Учреждениям.</w:t>
      </w:r>
      <w:r>
        <w:rPr>
          <w:highlight w:val="none"/>
        </w:rPr>
      </w:r>
      <w:r>
        <w:rPr>
          <w:highlight w:val="none"/>
        </w:rPr>
      </w:r>
    </w:p>
    <w:p>
      <w:pPr>
        <w:pStyle w:val="1018"/>
        <w:ind w:firstLine="720"/>
        <w:jc w:val="both"/>
      </w:pPr>
      <w:r>
        <w:rPr>
          <w:highlight w:val="none"/>
        </w:rPr>
        <w:t xml:space="preserve">В случае если неиспользованные остатки субсидий на иные цели не перечислены Учреждениями в доход бюджета города Перми в сроки, установленные абзацем первым настоящего пункта, то они подлежат взысканию в установленном порядке.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4</w:t>
      </w:r>
      <w:r>
        <w:rPr>
          <w:highlight w:val="none"/>
        </w:rPr>
        <w:t xml:space="preserve">.6. В случае поступления средств от возврата ранее произведенных Учреждениями выплат, источником финансового обеспечения которых являются субсидии на иные цели, для достижения целей, установленных при предоставлении субсидий на иные цели, Комитет в течение</w:t>
      </w:r>
      <w:r>
        <w:rPr>
          <w:highlight w:val="none"/>
        </w:rPr>
        <w:t xml:space="preserve"> 30 рабочих дней с момента их поступления в Учреждения принимает решение путем издания приказа об использовании в текущем финансовом году указанных средств.</w:t>
      </w:r>
      <w:r>
        <w:rPr>
          <w:highlight w:val="none"/>
        </w:rPr>
      </w:r>
      <w:r/>
    </w:p>
    <w:p>
      <w:pPr>
        <w:pStyle w:val="1018"/>
        <w:ind w:firstLine="720"/>
        <w:jc w:val="both"/>
      </w:pPr>
      <w:r>
        <w:rPr>
          <w:highlight w:val="none"/>
        </w:rPr>
        <w:t xml:space="preserve">Р</w:t>
      </w:r>
      <w:r>
        <w:rPr>
          <w:highlight w:val="none"/>
        </w:rPr>
        <w:t xml:space="preserve">ешение Комитета об использовании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Комитет в течение 20 рабочих дней с момента поступления средств в Учр</w:t>
      </w:r>
      <w:r>
        <w:rPr>
          <w:highlight w:val="none"/>
        </w:rPr>
        <w:t xml:space="preserve">е</w:t>
      </w:r>
      <w:r>
        <w:rPr>
          <w:highlight w:val="none"/>
        </w:rPr>
        <w:t xml:space="preserve">ждения и отражающих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</w:t>
      </w:r>
      <w:r>
        <w:rPr>
          <w:highlight w:val="none"/>
        </w:rPr>
        <w:t xml:space="preserve">кущем финансовом году.</w:t>
      </w:r>
      <w:r>
        <w:rPr>
          <w:highlight w:val="none"/>
        </w:rPr>
      </w:r>
      <w:r/>
    </w:p>
    <w:p>
      <w:pPr>
        <w:pStyle w:val="1018"/>
        <w:ind w:firstLine="720"/>
        <w:jc w:val="both"/>
        <w:sectPr>
          <w:headerReference w:type="default" r:id="rId11"/>
          <w:headerReference w:type="even" r:id="rId12"/>
          <w:footerReference w:type="default" r:id="rId14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1018"/>
        <w:ind w:left="5670"/>
        <w:pageBreakBefore/>
        <w:spacing w:line="240" w:lineRule="exact"/>
        <w:rPr>
          <w:color w:val="000000" w:themeColor="text1"/>
          <w:highlight w:val="none"/>
        </w:rPr>
        <w:outlineLvl w:val="1"/>
      </w:pPr>
      <w:r>
        <w:rPr>
          <w:color w:val="000000" w:themeColor="text1"/>
          <w:highlight w:val="none"/>
        </w:rPr>
        <w:t xml:space="preserve">Приложение 1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ind w:left="5670"/>
        <w:spacing w:line="240" w:lineRule="exac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к Порядку </w:t>
      </w:r>
      <w:r>
        <w:rPr>
          <w:color w:val="000000" w:themeColor="text1"/>
          <w:highlight w:val="none"/>
        </w:rPr>
        <w:t xml:space="preserve">о</w:t>
      </w:r>
      <w:r>
        <w:rPr>
          <w:color w:val="000000" w:themeColor="text1"/>
          <w:highlight w:val="none"/>
        </w:rPr>
        <w:t xml:space="preserve">пределения объема и условий предоставления субсидий на иные цели бюджетным и автономным учреждениям на организацию и проведение межмуниципальных, региональных, межрегиональных, всероссийских и международных официальных физкультурно-оздоровительных и спорти</w:t>
      </w:r>
      <w:r>
        <w:rPr>
          <w:color w:val="000000" w:themeColor="text1"/>
          <w:highlight w:val="none"/>
        </w:rPr>
        <w:t xml:space="preserve">вных мероприятий, проводимых на территории Пермского городского округа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8"/>
        <w:spacing w:line="240" w:lineRule="exact"/>
        <w:rPr>
          <w:color w:val="000000" w:themeColor="text1"/>
          <w:highlight w:val="green"/>
        </w:rPr>
        <w:outlineLvl w:val="1"/>
      </w:pP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  <w:r>
        <w:rPr>
          <w:color w:val="000000" w:themeColor="text1"/>
          <w:highlight w:val="green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70"/>
        <w:gridCol w:w="3658"/>
        <w:gridCol w:w="3061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89" w:type="dxa"/>
            <w:textDirection w:val="lrTb"/>
            <w:noWrap w:val="false"/>
          </w:tcPr>
          <w:p>
            <w:pPr>
              <w:pStyle w:val="1087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ЗАЯВКА</w:t>
            </w:r>
            <w:r/>
          </w:p>
          <w:p>
            <w:pPr>
              <w:pStyle w:val="1087"/>
              <w:jc w:val="center"/>
            </w:pPr>
            <w:r>
              <w:rPr>
                <w:sz w:val="24"/>
              </w:rPr>
              <w:t xml:space="preserve">на получение субсидии на иные цели из бюджета города Перми</w:t>
            </w:r>
            <w:r/>
          </w:p>
          <w:p>
            <w:pPr>
              <w:pStyle w:val="1087"/>
              <w:jc w:val="center"/>
            </w:pPr>
            <w:r>
              <w:rPr>
                <w:sz w:val="24"/>
              </w:rPr>
              <w:t xml:space="preserve">на 20___ год и плановый период</w:t>
            </w:r>
            <w:r/>
          </w:p>
          <w:p>
            <w:pPr>
              <w:pStyle w:val="1087"/>
              <w:jc w:val="center"/>
            </w:pPr>
            <w:r>
              <w:rPr>
                <w:sz w:val="24"/>
              </w:rPr>
              <w:t xml:space="preserve">____________________________________________________________</w:t>
            </w:r>
            <w:r/>
          </w:p>
          <w:p>
            <w:pPr>
              <w:pStyle w:val="1087"/>
              <w:jc w:val="center"/>
            </w:pPr>
            <w:r>
              <w:rPr>
                <w:sz w:val="24"/>
              </w:rPr>
              <w:t xml:space="preserve">(наименование муниципального учреждения)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89" w:type="dxa"/>
            <w:textDirection w:val="lrTb"/>
            <w:noWrap w:val="false"/>
          </w:tcPr>
          <w:p>
            <w:pPr>
              <w:pStyle w:val="1087"/>
              <w:ind w:firstLine="283"/>
              <w:jc w:val="both"/>
            </w:pPr>
            <w:r>
              <w:rPr>
                <w:sz w:val="24"/>
              </w:rPr>
              <w:t xml:space="preserve">Просим предоставить субсидии на иные цели в соответствии с </w:t>
            </w:r>
            <w:hyperlink r:id="rId18" w:tooltip="&quot;Бюджетный кодекс Российской Федерации&quot; от 31.07.1998 N 145-ФЗ (ред. от 13.07.2024, с изм. от 30.09.2024) (с изм. и доп., вступ. в силу с 01.09.2024) ------------ Недействующая редакция {КонсультантПлюс}" w:history="1">
              <w:r>
                <w:rPr>
                  <w:color w:val="0000ff"/>
                  <w:sz w:val="24"/>
                </w:rPr>
                <w:t xml:space="preserve">абзацем вторым пункта 1 статьи 78.1</w:t>
              </w:r>
            </w:hyperlink>
            <w:r>
              <w:rPr>
                <w:sz w:val="24"/>
              </w:rPr>
              <w:t xml:space="preserve"> Бюджетного кодекса Российской Федерации в целях _________________________________________________________________________</w:t>
            </w:r>
            <w:r/>
          </w:p>
          <w:p>
            <w:pPr>
              <w:pStyle w:val="1087"/>
              <w:jc w:val="both"/>
            </w:pPr>
            <w:r>
              <w:rPr>
                <w:sz w:val="24"/>
              </w:rPr>
              <w:t xml:space="preserve">в рамках реализации мероприятия ___________________________________________</w:t>
            </w:r>
            <w:r/>
          </w:p>
          <w:p>
            <w:pPr>
              <w:pStyle w:val="1087"/>
              <w:jc w:val="both"/>
            </w:pPr>
            <w:r>
              <w:rPr>
                <w:sz w:val="24"/>
              </w:rPr>
              <w:t xml:space="preserve">в размере:</w:t>
            </w:r>
            <w:r/>
          </w:p>
          <w:p>
            <w:pPr>
              <w:pStyle w:val="1087"/>
              <w:ind w:firstLine="283"/>
              <w:jc w:val="both"/>
            </w:pPr>
            <w:r>
              <w:rPr>
                <w:sz w:val="24"/>
              </w:rPr>
              <w:t xml:space="preserve">на ________ год _______________________________ руб. (цифрами и прописью);</w:t>
            </w:r>
            <w:r/>
          </w:p>
          <w:p>
            <w:pPr>
              <w:pStyle w:val="1087"/>
              <w:ind w:firstLine="283"/>
              <w:jc w:val="both"/>
            </w:pPr>
            <w:r>
              <w:rPr>
                <w:sz w:val="24"/>
              </w:rPr>
              <w:t xml:space="preserve">на ________ год _______________________________ руб. (цифрами и прописью);</w:t>
            </w:r>
            <w:r/>
          </w:p>
          <w:p>
            <w:pPr>
              <w:pStyle w:val="1087"/>
              <w:ind w:firstLine="283"/>
              <w:jc w:val="both"/>
            </w:pPr>
            <w:r>
              <w:rPr>
                <w:sz w:val="24"/>
              </w:rPr>
              <w:t xml:space="preserve">на ________ год _______________________________ руб. (цифрами и прописью).</w:t>
            </w:r>
            <w:r/>
          </w:p>
          <w:p>
            <w:pPr>
              <w:pStyle w:val="1087"/>
              <w:ind w:firstLine="283"/>
              <w:jc w:val="both"/>
            </w:pPr>
            <w:r>
              <w:rPr>
                <w:sz w:val="24"/>
              </w:rPr>
              <w:t xml:space="preserve">В соответствии с </w:t>
            </w:r>
            <w:hyperlink w:tooltip="2.1. Для получения субсидий на иные цели Учреждения направляют в Комитет:" w:anchor="P89" w:history="1">
              <w:r>
                <w:rPr>
                  <w:color w:val="0000ff"/>
                  <w:sz w:val="24"/>
                </w:rPr>
                <w:t xml:space="preserve">пунктом 2.1</w:t>
              </w:r>
            </w:hyperlink>
            <w:r>
              <w:rPr>
                <w:sz w:val="24"/>
              </w:rPr>
              <w:t xml:space="preserve"> Порядка определения объема и условий предоставления субсидий на иные цели из бюджета города Перми ___________________________ "_______________________________", к заявке прилагаются следующие документы:</w:t>
            </w:r>
            <w:r/>
          </w:p>
          <w:p>
            <w:pPr>
              <w:pStyle w:val="1087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___________________________________________________________________,</w:t>
            </w:r>
            <w:r/>
          </w:p>
          <w:p>
            <w:pPr>
              <w:pStyle w:val="1087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___________________________________________________________________,</w:t>
            </w:r>
            <w:r/>
          </w:p>
          <w:p>
            <w:pPr>
              <w:pStyle w:val="1087"/>
              <w:ind w:firstLine="283"/>
              <w:jc w:val="both"/>
            </w:pPr>
            <w:r>
              <w:rPr>
                <w:sz w:val="24"/>
              </w:rPr>
              <w:t xml:space="preserve">3. ___________________________________________________________________.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  <w:t xml:space="preserve">Руководитель</w:t>
            </w:r>
            <w:r/>
          </w:p>
          <w:p>
            <w:pPr>
              <w:pStyle w:val="1087"/>
            </w:pPr>
            <w:r>
              <w:rPr>
                <w:sz w:val="24"/>
              </w:rPr>
              <w:t xml:space="preserve">учреждения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8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_________________________</w:t>
            </w:r>
            <w:r/>
          </w:p>
          <w:p>
            <w:pPr>
              <w:pStyle w:val="1087"/>
              <w:ind w:left="1132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/______________________/</w:t>
            </w:r>
            <w:r/>
          </w:p>
          <w:p>
            <w:pPr>
              <w:pStyle w:val="1087"/>
              <w:jc w:val="center"/>
            </w:pPr>
            <w:r>
              <w:rPr>
                <w:sz w:val="24"/>
              </w:rPr>
              <w:t xml:space="preserve">Ф.И.О.</w:t>
            </w:r>
            <w:r/>
          </w:p>
        </w:tc>
      </w:tr>
    </w:tbl>
    <w:p>
      <w:pPr>
        <w:pStyle w:val="101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9923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7"/>
        <w:ind w:left="5670"/>
        <w:pageBreakBefore/>
        <w:spacing w:line="240" w:lineRule="exact"/>
        <w:rPr>
          <w:color w:val="000000" w:themeColor="text1"/>
          <w:sz w:val="32"/>
          <w:szCs w:val="24"/>
          <w:highlight w:val="none"/>
        </w:rPr>
        <w:outlineLvl w:val="1"/>
      </w:pPr>
      <w:r>
        <w:rPr>
          <w:color w:val="000000" w:themeColor="text1"/>
          <w:sz w:val="28"/>
          <w:szCs w:val="22"/>
          <w:highlight w:val="none"/>
        </w:rPr>
        <w:t xml:space="preserve">Приложение 2</w:t>
      </w:r>
      <w:r>
        <w:rPr>
          <w:color w:val="000000" w:themeColor="text1"/>
          <w:sz w:val="32"/>
          <w:szCs w:val="24"/>
          <w:highlight w:val="none"/>
        </w:rPr>
      </w:r>
      <w:r>
        <w:rPr>
          <w:color w:val="000000" w:themeColor="text1"/>
          <w:sz w:val="32"/>
          <w:szCs w:val="24"/>
          <w:highlight w:val="none"/>
        </w:rPr>
      </w:r>
    </w:p>
    <w:p>
      <w:pPr>
        <w:pStyle w:val="1087"/>
        <w:ind w:left="5670"/>
        <w:spacing w:line="240" w:lineRule="exact"/>
        <w:rPr>
          <w:color w:val="000000" w:themeColor="text1"/>
          <w:sz w:val="32"/>
          <w:szCs w:val="24"/>
          <w:highlight w:val="none"/>
        </w:rPr>
      </w:pPr>
      <w:r>
        <w:rPr>
          <w:color w:val="000000" w:themeColor="text1"/>
          <w:sz w:val="28"/>
          <w:szCs w:val="22"/>
          <w:highlight w:val="none"/>
        </w:rPr>
      </w:r>
      <w:r>
        <w:rPr>
          <w:color w:val="000000" w:themeColor="text1"/>
          <w:sz w:val="28"/>
          <w:szCs w:val="22"/>
          <w:highlight w:val="none"/>
        </w:rPr>
        <w:t xml:space="preserve">к</w:t>
      </w:r>
      <w:r>
        <w:rPr>
          <w:color w:val="000000" w:themeColor="text1"/>
          <w:sz w:val="28"/>
          <w:szCs w:val="22"/>
          <w:highlight w:val="none"/>
        </w:rPr>
        <w:t xml:space="preserve"> Порядку определения объема и условий предоставления субсидий на иные цели бюджетным и автономным учреждениям на организацию и проведение межмуниципальных, региональных, межрегиональных, всероссийских и международных официальных физкультурно-оздоровительны</w:t>
      </w:r>
      <w:r>
        <w:rPr>
          <w:color w:val="000000" w:themeColor="text1"/>
          <w:sz w:val="28"/>
          <w:szCs w:val="22"/>
          <w:highlight w:val="none"/>
        </w:rPr>
        <w:t xml:space="preserve">х и спортивных мероприятий, проводимых на территории Пермского городского округа</w:t>
      </w:r>
      <w:r>
        <w:rPr>
          <w:color w:val="000000" w:themeColor="text1"/>
          <w:sz w:val="32"/>
          <w:szCs w:val="24"/>
          <w:highlight w:val="none"/>
        </w:rPr>
      </w:r>
      <w:r>
        <w:rPr>
          <w:color w:val="000000" w:themeColor="text1"/>
          <w:sz w:val="32"/>
          <w:szCs w:val="24"/>
          <w:highlight w:val="none"/>
        </w:rPr>
      </w:r>
    </w:p>
    <w:p>
      <w:pPr>
        <w:pStyle w:val="1087"/>
        <w:spacing w:line="240" w:lineRule="exact"/>
        <w:rPr>
          <w:color w:val="000000" w:themeColor="text1"/>
        </w:rPr>
        <w:outlineLvl w:val="1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87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87"/>
        <w:jc w:val="center"/>
      </w:pPr>
      <w:r/>
      <w:bookmarkStart w:id="0" w:name="undefined"/>
      <w:r/>
      <w:bookmarkEnd w:id="0"/>
      <w:r>
        <w:rPr>
          <w:sz w:val="24"/>
        </w:rPr>
        <w:t xml:space="preserve">РАСЧЕТ-ОБОСНОВАНИЕ</w:t>
      </w:r>
      <w:r/>
    </w:p>
    <w:p>
      <w:pPr>
        <w:pStyle w:val="1087"/>
        <w:jc w:val="center"/>
      </w:pPr>
      <w:r>
        <w:rPr>
          <w:sz w:val="24"/>
        </w:rPr>
        <w:t xml:space="preserve">суммы субсидии на иные цели</w:t>
      </w:r>
      <w:r/>
    </w:p>
    <w:p>
      <w:pPr>
        <w:pStyle w:val="1087"/>
        <w:jc w:val="center"/>
      </w:pPr>
      <w:r>
        <w:rPr>
          <w:sz w:val="24"/>
        </w:rPr>
        <w:t xml:space="preserve">на 20____ г.</w:t>
      </w:r>
      <w:r/>
    </w:p>
    <w:p>
      <w:pPr>
        <w:pStyle w:val="1087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087"/>
        <w:jc w:val="center"/>
      </w:pPr>
      <w:r>
        <w:rPr>
          <w:sz w:val="24"/>
        </w:rPr>
        <w:t xml:space="preserve">(наименование учреждения)</w:t>
      </w:r>
      <w:r/>
    </w:p>
    <w:p>
      <w:pPr>
        <w:jc w:val="left"/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2098"/>
        <w:gridCol w:w="1871"/>
        <w:gridCol w:w="1204"/>
        <w:gridCol w:w="1459"/>
        <w:gridCol w:w="2041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Месяц проведения мероприятия</w:t>
            </w:r>
            <w:r/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Норматив, руб.</w:t>
            </w:r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Количество участников мероприятия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Объем финансирования, руб. (графа 3 x графа 4)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87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1204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1459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</w:r>
            <w:r/>
          </w:p>
        </w:tc>
      </w:tr>
    </w:tbl>
    <w:p>
      <w:pPr>
        <w:jc w:val="left"/>
      </w:pPr>
      <w:r/>
      <w:r/>
    </w:p>
    <w:p>
      <w:pPr>
        <w:pStyle w:val="1087"/>
        <w:ind w:firstLine="540"/>
        <w:jc w:val="both"/>
      </w:pPr>
      <w:r>
        <w:rPr>
          <w:sz w:val="24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/>
    </w:p>
    <w:p>
      <w:pPr>
        <w:pStyle w:val="1087"/>
        <w:ind w:firstLine="540"/>
        <w:jc w:val="both"/>
        <w:spacing w:before="240"/>
      </w:pPr>
      <w:r>
        <w:rPr>
          <w:sz w:val="24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/>
    </w:p>
    <w:p>
      <w:pPr>
        <w:pStyle w:val="108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87"/>
        <w:gridCol w:w="56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  <w:t xml:space="preserve">Руководитель учреждения</w:t>
            </w:r>
            <w:r/>
          </w:p>
          <w:p>
            <w:pPr>
              <w:pStyle w:val="1087"/>
            </w:pPr>
            <w:r>
              <w:rPr>
                <w:sz w:val="24"/>
              </w:rPr>
            </w:r>
            <w:r/>
          </w:p>
          <w:p>
            <w:pPr>
              <w:pStyle w:val="1087"/>
            </w:pPr>
            <w:r>
              <w:rPr>
                <w:sz w:val="24"/>
              </w:rPr>
            </w:r>
            <w:r>
              <w:rPr>
                <w:color w:val="000000" w:themeColor="text1"/>
              </w:rPr>
              <w:t xml:space="preserve">«</w:t>
            </w:r>
            <w:r>
              <w:rPr>
                <w:sz w:val="24"/>
              </w:rPr>
              <w:t xml:space="preserve">___</w:t>
            </w:r>
            <w:r>
              <w:rPr>
                <w:color w:val="000000" w:themeColor="text1"/>
              </w:rPr>
              <w:t xml:space="preserve">»</w:t>
            </w:r>
            <w:r>
              <w:rPr>
                <w:sz w:val="24"/>
              </w:rPr>
              <w:t xml:space="preserve"> ___________ _____ г.</w:t>
            </w:r>
            <w:r/>
          </w:p>
          <w:p>
            <w:pPr>
              <w:pStyle w:val="1087"/>
            </w:pPr>
            <w:r>
              <w:rPr>
                <w:sz w:val="24"/>
              </w:rPr>
            </w:r>
            <w:r/>
          </w:p>
          <w:p>
            <w:pPr>
              <w:pStyle w:val="1087"/>
            </w:pPr>
            <w:r>
              <w:rPr>
                <w:sz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87"/>
            </w:pPr>
            <w:r>
              <w:rPr>
                <w:sz w:val="24"/>
              </w:rPr>
              <w:t xml:space="preserve">_____________________________________________</w:t>
            </w:r>
            <w:r/>
          </w:p>
          <w:p>
            <w:pPr>
              <w:pStyle w:val="1087"/>
              <w:jc w:val="center"/>
            </w:pPr>
            <w:r>
              <w:rPr>
                <w:sz w:val="24"/>
              </w:rPr>
              <w:t xml:space="preserve">(подпись, расшифровка подписи)</w:t>
            </w:r>
            <w:r/>
          </w:p>
        </w:tc>
      </w:tr>
    </w:tbl>
    <w:p>
      <w:pPr>
        <w:jc w:val="left"/>
      </w:pPr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8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8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 w:default="1">
    <w:name w:val="Normal"/>
    <w:qFormat/>
    <w:rPr>
      <w:lang w:eastAsia="ru-RU"/>
    </w:rPr>
  </w:style>
  <w:style w:type="paragraph" w:styleId="759">
    <w:name w:val="Heading 1"/>
    <w:basedOn w:val="758"/>
    <w:next w:val="758"/>
    <w:link w:val="824"/>
    <w:qFormat/>
    <w:pPr>
      <w:ind w:right="-1" w:firstLine="709"/>
      <w:jc w:val="both"/>
      <w:keepNext/>
      <w:outlineLvl w:val="0"/>
    </w:pPr>
    <w:rPr>
      <w:sz w:val="24"/>
    </w:rPr>
  </w:style>
  <w:style w:type="paragraph" w:styleId="760">
    <w:name w:val="Heading 2"/>
    <w:basedOn w:val="758"/>
    <w:next w:val="758"/>
    <w:link w:val="825"/>
    <w:qFormat/>
    <w:pPr>
      <w:ind w:right="-1"/>
      <w:jc w:val="both"/>
      <w:keepNext/>
      <w:outlineLvl w:val="1"/>
    </w:pPr>
    <w:rPr>
      <w:sz w:val="24"/>
    </w:rPr>
  </w:style>
  <w:style w:type="paragraph" w:styleId="761">
    <w:name w:val="Heading 3"/>
    <w:basedOn w:val="758"/>
    <w:next w:val="758"/>
    <w:link w:val="8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758"/>
    <w:next w:val="758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table" w:styleId="771">
    <w:name w:val="Plain Table 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5 Dark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>
    <w:name w:val="Grid Table 7 Colorful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>
    <w:name w:val="List Table 7 Colorful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 простая 1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21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3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Таблица простая 4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Таблица простая 5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1 светлая1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3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41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Таблица-сетка 5 темная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Таблица-сетк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Таблица-сетка 7 цветная1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Список-таблица 1 светлая1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Список-таблица 21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Список-таблица 3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4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5 темная1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Список-таблица 7 цветная1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9" w:customStyle="1">
    <w:name w:val="Heading 1 Char"/>
    <w:basedOn w:val="768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768"/>
    <w:uiPriority w:val="9"/>
    <w:rPr>
      <w:rFonts w:ascii="Arial" w:hAnsi="Arial" w:eastAsia="Arial" w:cs="Arial"/>
      <w:sz w:val="34"/>
    </w:rPr>
  </w:style>
  <w:style w:type="character" w:styleId="811" w:customStyle="1">
    <w:name w:val="Heading 3 Char"/>
    <w:basedOn w:val="768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Heading 4 Char"/>
    <w:basedOn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Heading 5 Char"/>
    <w:basedOn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Heading 6 Char"/>
    <w:basedOn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Heading 7 Char"/>
    <w:basedOn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Heading 8 Char"/>
    <w:basedOn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Heading 9 Char"/>
    <w:basedOn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Title Char"/>
    <w:basedOn w:val="768"/>
    <w:uiPriority w:val="10"/>
    <w:rPr>
      <w:sz w:val="48"/>
      <w:szCs w:val="48"/>
    </w:rPr>
  </w:style>
  <w:style w:type="character" w:styleId="819" w:customStyle="1">
    <w:name w:val="Subtitle Char"/>
    <w:basedOn w:val="768"/>
    <w:uiPriority w:val="11"/>
    <w:rPr>
      <w:sz w:val="24"/>
      <w:szCs w:val="24"/>
    </w:rPr>
  </w:style>
  <w:style w:type="character" w:styleId="820" w:customStyle="1">
    <w:name w:val="Quote Char"/>
    <w:uiPriority w:val="29"/>
    <w:rPr>
      <w:i/>
    </w:rPr>
  </w:style>
  <w:style w:type="character" w:styleId="821" w:customStyle="1">
    <w:name w:val="Intense Quote Char"/>
    <w:uiPriority w:val="30"/>
    <w:rPr>
      <w:i/>
    </w:rPr>
  </w:style>
  <w:style w:type="character" w:styleId="822" w:customStyle="1">
    <w:name w:val="Footnote Text Char"/>
    <w:uiPriority w:val="99"/>
    <w:rPr>
      <w:sz w:val="18"/>
    </w:rPr>
  </w:style>
  <w:style w:type="character" w:styleId="823" w:customStyle="1">
    <w:name w:val="Endnote Text Char"/>
    <w:uiPriority w:val="99"/>
    <w:rPr>
      <w:sz w:val="20"/>
    </w:rPr>
  </w:style>
  <w:style w:type="character" w:styleId="824" w:customStyle="1">
    <w:name w:val="Заголовок 1 Знак"/>
    <w:link w:val="759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Заголовок 2 Знак"/>
    <w:link w:val="760"/>
    <w:uiPriority w:val="9"/>
    <w:rPr>
      <w:rFonts w:ascii="Arial" w:hAnsi="Arial" w:eastAsia="Arial" w:cs="Arial"/>
      <w:sz w:val="34"/>
    </w:rPr>
  </w:style>
  <w:style w:type="character" w:styleId="826" w:customStyle="1">
    <w:name w:val="Заголовок 3 Знак"/>
    <w:link w:val="761"/>
    <w:uiPriority w:val="9"/>
    <w:rPr>
      <w:rFonts w:ascii="Arial" w:hAnsi="Arial" w:eastAsia="Arial" w:cs="Arial"/>
      <w:sz w:val="30"/>
      <w:szCs w:val="30"/>
    </w:rPr>
  </w:style>
  <w:style w:type="character" w:styleId="827" w:customStyle="1">
    <w:name w:val="Заголовок 4 Знак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List Paragraph"/>
    <w:basedOn w:val="7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3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5">
    <w:name w:val="Title"/>
    <w:basedOn w:val="758"/>
    <w:next w:val="758"/>
    <w:link w:val="8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6" w:customStyle="1">
    <w:name w:val="Название Знак"/>
    <w:link w:val="835"/>
    <w:uiPriority w:val="10"/>
    <w:rPr>
      <w:sz w:val="48"/>
      <w:szCs w:val="48"/>
    </w:rPr>
  </w:style>
  <w:style w:type="paragraph" w:styleId="837">
    <w:name w:val="Subtitle"/>
    <w:basedOn w:val="758"/>
    <w:next w:val="758"/>
    <w:link w:val="838"/>
    <w:uiPriority w:val="11"/>
    <w:qFormat/>
    <w:pPr>
      <w:spacing w:before="200" w:after="200"/>
    </w:pPr>
    <w:rPr>
      <w:sz w:val="24"/>
      <w:szCs w:val="24"/>
    </w:rPr>
  </w:style>
  <w:style w:type="character" w:styleId="838" w:customStyle="1">
    <w:name w:val="Подзаголовок Знак"/>
    <w:link w:val="837"/>
    <w:uiPriority w:val="11"/>
    <w:rPr>
      <w:sz w:val="24"/>
      <w:szCs w:val="24"/>
    </w:rPr>
  </w:style>
  <w:style w:type="paragraph" w:styleId="839">
    <w:name w:val="Quote"/>
    <w:basedOn w:val="758"/>
    <w:next w:val="758"/>
    <w:link w:val="840"/>
    <w:uiPriority w:val="29"/>
    <w:qFormat/>
    <w:pPr>
      <w:ind w:left="720" w:right="720"/>
    </w:pPr>
    <w:rPr>
      <w:i/>
    </w:rPr>
  </w:style>
  <w:style w:type="character" w:styleId="840" w:customStyle="1">
    <w:name w:val="Цитата 2 Знак"/>
    <w:link w:val="839"/>
    <w:uiPriority w:val="29"/>
    <w:rPr>
      <w:i/>
    </w:rPr>
  </w:style>
  <w:style w:type="paragraph" w:styleId="841">
    <w:name w:val="Intense Quote"/>
    <w:basedOn w:val="758"/>
    <w:next w:val="758"/>
    <w:link w:val="8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2" w:customStyle="1">
    <w:name w:val="Выделенная цитата Знак"/>
    <w:link w:val="841"/>
    <w:uiPriority w:val="30"/>
    <w:rPr>
      <w:i/>
    </w:rPr>
  </w:style>
  <w:style w:type="paragraph" w:styleId="843">
    <w:name w:val="Header"/>
    <w:basedOn w:val="758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844" w:customStyle="1">
    <w:name w:val="Header Char"/>
    <w:uiPriority w:val="99"/>
  </w:style>
  <w:style w:type="paragraph" w:styleId="845">
    <w:name w:val="Footer"/>
    <w:basedOn w:val="758"/>
    <w:link w:val="1074"/>
    <w:uiPriority w:val="99"/>
    <w:pPr>
      <w:tabs>
        <w:tab w:val="center" w:pos="4153" w:leader="none"/>
        <w:tab w:val="right" w:pos="8306" w:leader="none"/>
      </w:tabs>
    </w:pPr>
  </w:style>
  <w:style w:type="character" w:styleId="846" w:customStyle="1">
    <w:name w:val="Footer Char"/>
    <w:uiPriority w:val="99"/>
  </w:style>
  <w:style w:type="paragraph" w:styleId="847">
    <w:name w:val="Caption"/>
    <w:basedOn w:val="758"/>
    <w:next w:val="75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8" w:customStyle="1">
    <w:name w:val="Caption Char"/>
    <w:uiPriority w:val="99"/>
  </w:style>
  <w:style w:type="table" w:styleId="849">
    <w:name w:val="Table Grid"/>
    <w:basedOn w:val="76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5">
    <w:name w:val="Hyperlink"/>
    <w:uiPriority w:val="99"/>
    <w:unhideWhenUsed/>
    <w:rPr>
      <w:color w:val="0000ff"/>
      <w:u w:val="single"/>
    </w:rPr>
  </w:style>
  <w:style w:type="paragraph" w:styleId="976">
    <w:name w:val="footnote text"/>
    <w:basedOn w:val="758"/>
    <w:link w:val="977"/>
    <w:uiPriority w:val="99"/>
    <w:semiHidden/>
    <w:unhideWhenUsed/>
    <w:pPr>
      <w:spacing w:after="40"/>
    </w:pPr>
    <w:rPr>
      <w:sz w:val="18"/>
    </w:rPr>
  </w:style>
  <w:style w:type="character" w:styleId="977" w:customStyle="1">
    <w:name w:val="Текст сноски Знак"/>
    <w:link w:val="976"/>
    <w:uiPriority w:val="99"/>
    <w:rPr>
      <w:sz w:val="18"/>
    </w:rPr>
  </w:style>
  <w:style w:type="character" w:styleId="978">
    <w:name w:val="footnote reference"/>
    <w:uiPriority w:val="99"/>
    <w:unhideWhenUsed/>
    <w:rPr>
      <w:vertAlign w:val="superscript"/>
    </w:rPr>
  </w:style>
  <w:style w:type="paragraph" w:styleId="979">
    <w:name w:val="endnote text"/>
    <w:basedOn w:val="758"/>
    <w:link w:val="980"/>
    <w:uiPriority w:val="99"/>
    <w:semiHidden/>
    <w:unhideWhenUsed/>
  </w:style>
  <w:style w:type="character" w:styleId="980" w:customStyle="1">
    <w:name w:val="Текст концевой сноски Знак"/>
    <w:link w:val="979"/>
    <w:uiPriority w:val="99"/>
    <w:rPr>
      <w:sz w:val="20"/>
    </w:rPr>
  </w:style>
  <w:style w:type="character" w:styleId="981">
    <w:name w:val="endnote reference"/>
    <w:uiPriority w:val="99"/>
    <w:semiHidden/>
    <w:unhideWhenUsed/>
    <w:rPr>
      <w:vertAlign w:val="superscript"/>
    </w:rPr>
  </w:style>
  <w:style w:type="paragraph" w:styleId="982">
    <w:name w:val="toc 1"/>
    <w:basedOn w:val="758"/>
    <w:next w:val="758"/>
    <w:uiPriority w:val="39"/>
    <w:unhideWhenUsed/>
    <w:pPr>
      <w:spacing w:after="57"/>
    </w:pPr>
  </w:style>
  <w:style w:type="paragraph" w:styleId="983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84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85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86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87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88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89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90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91">
    <w:name w:val="TOC Heading"/>
    <w:uiPriority w:val="39"/>
    <w:unhideWhenUsed/>
  </w:style>
  <w:style w:type="paragraph" w:styleId="992">
    <w:name w:val="table of figures"/>
    <w:basedOn w:val="758"/>
    <w:next w:val="758"/>
    <w:uiPriority w:val="99"/>
    <w:unhideWhenUsed/>
  </w:style>
  <w:style w:type="paragraph" w:styleId="993">
    <w:name w:val="Body Text"/>
    <w:basedOn w:val="758"/>
    <w:link w:val="1017"/>
    <w:pPr>
      <w:ind w:right="3117"/>
    </w:pPr>
    <w:rPr>
      <w:rFonts w:ascii="Courier New" w:hAnsi="Courier New"/>
      <w:sz w:val="26"/>
      <w:lang w:val="en-US" w:eastAsia="en-US"/>
    </w:rPr>
  </w:style>
  <w:style w:type="paragraph" w:styleId="994">
    <w:name w:val="Body Text Indent"/>
    <w:basedOn w:val="758"/>
    <w:pPr>
      <w:ind w:right="-1"/>
      <w:jc w:val="both"/>
    </w:pPr>
    <w:rPr>
      <w:sz w:val="26"/>
    </w:rPr>
  </w:style>
  <w:style w:type="character" w:styleId="995">
    <w:name w:val="page number"/>
    <w:basedOn w:val="768"/>
  </w:style>
  <w:style w:type="paragraph" w:styleId="996">
    <w:name w:val="Balloon Text"/>
    <w:basedOn w:val="758"/>
    <w:link w:val="997"/>
    <w:uiPriority w:val="99"/>
    <w:rPr>
      <w:rFonts w:ascii="Segoe UI" w:hAnsi="Segoe UI"/>
      <w:sz w:val="18"/>
      <w:szCs w:val="18"/>
      <w:lang w:val="en-US" w:eastAsia="en-US"/>
    </w:rPr>
  </w:style>
  <w:style w:type="character" w:styleId="997" w:customStyle="1">
    <w:name w:val="Текст выноски Знак"/>
    <w:link w:val="996"/>
    <w:uiPriority w:val="99"/>
    <w:rPr>
      <w:rFonts w:ascii="Segoe UI" w:hAnsi="Segoe UI" w:cs="Segoe UI"/>
      <w:sz w:val="18"/>
      <w:szCs w:val="18"/>
    </w:rPr>
  </w:style>
  <w:style w:type="character" w:styleId="998" w:customStyle="1">
    <w:name w:val="Верхний колонтитул Знак"/>
    <w:link w:val="843"/>
    <w:uiPriority w:val="99"/>
  </w:style>
  <w:style w:type="numbering" w:styleId="999" w:customStyle="1">
    <w:name w:val="Нет списка1"/>
    <w:next w:val="770"/>
    <w:uiPriority w:val="99"/>
    <w:semiHidden/>
    <w:unhideWhenUsed/>
  </w:style>
  <w:style w:type="character" w:styleId="1000">
    <w:name w:val="FollowedHyperlink"/>
    <w:uiPriority w:val="99"/>
    <w:unhideWhenUsed/>
    <w:rPr>
      <w:color w:val="800080"/>
      <w:u w:val="single"/>
    </w:rPr>
  </w:style>
  <w:style w:type="paragraph" w:styleId="1001" w:customStyle="1">
    <w:name w:val="xl65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2" w:customStyle="1">
    <w:name w:val="xl6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6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6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5" w:customStyle="1">
    <w:name w:val="xl6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xl70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7" w:customStyle="1">
    <w:name w:val="xl71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8" w:customStyle="1">
    <w:name w:val="xl7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7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xl74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1" w:customStyle="1">
    <w:name w:val="xl75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7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3" w:customStyle="1">
    <w:name w:val="xl77"/>
    <w:basedOn w:val="75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4" w:customStyle="1">
    <w:name w:val="xl78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5" w:customStyle="1">
    <w:name w:val="xl79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Форма"/>
    <w:rPr>
      <w:sz w:val="28"/>
      <w:szCs w:val="28"/>
      <w:lang w:eastAsia="ru-RU"/>
    </w:rPr>
  </w:style>
  <w:style w:type="character" w:styleId="1017" w:customStyle="1">
    <w:name w:val="Основной текст Знак"/>
    <w:link w:val="993"/>
    <w:rPr>
      <w:rFonts w:ascii="Courier New" w:hAnsi="Courier New"/>
      <w:sz w:val="26"/>
    </w:rPr>
  </w:style>
  <w:style w:type="paragraph" w:styleId="1018" w:customStyle="1">
    <w:name w:val="ConsPlusNormal"/>
    <w:rPr>
      <w:sz w:val="28"/>
      <w:szCs w:val="28"/>
      <w:lang w:eastAsia="ru-RU"/>
    </w:rPr>
  </w:style>
  <w:style w:type="numbering" w:styleId="1019" w:customStyle="1">
    <w:name w:val="Нет списка11"/>
    <w:next w:val="770"/>
    <w:uiPriority w:val="99"/>
    <w:semiHidden/>
    <w:unhideWhenUsed/>
  </w:style>
  <w:style w:type="numbering" w:styleId="1020" w:customStyle="1">
    <w:name w:val="Нет списка111"/>
    <w:next w:val="770"/>
    <w:uiPriority w:val="99"/>
    <w:semiHidden/>
    <w:unhideWhenUsed/>
  </w:style>
  <w:style w:type="paragraph" w:styleId="1021" w:customStyle="1">
    <w:name w:val="font5"/>
    <w:basedOn w:val="75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22" w:customStyle="1">
    <w:name w:val="xl8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23" w:customStyle="1">
    <w:name w:val="xl8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24" w:customStyle="1">
    <w:name w:val="xl82"/>
    <w:basedOn w:val="75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25" w:customStyle="1">
    <w:name w:val="xl8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6" w:customStyle="1">
    <w:name w:val="xl8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8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8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8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0" w:customStyle="1">
    <w:name w:val="xl88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1" w:customStyle="1">
    <w:name w:val="xl89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90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9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9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5" w:customStyle="1">
    <w:name w:val="xl9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6" w:customStyle="1">
    <w:name w:val="xl94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9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9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9" w:customStyle="1">
    <w:name w:val="xl9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9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41" w:customStyle="1">
    <w:name w:val="xl99"/>
    <w:basedOn w:val="75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2" w:customStyle="1">
    <w:name w:val="xl10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0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5" w:customStyle="1">
    <w:name w:val="xl10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0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0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0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0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08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09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1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11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2"/>
    <w:basedOn w:val="75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55" w:customStyle="1">
    <w:name w:val="xl11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14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15"/>
    <w:basedOn w:val="75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58" w:customStyle="1">
    <w:name w:val="xl116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17"/>
    <w:basedOn w:val="75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1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19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2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3" w:customStyle="1">
    <w:name w:val="xl121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4" w:customStyle="1">
    <w:name w:val="xl122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2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6" w:customStyle="1">
    <w:name w:val="xl12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7" w:customStyle="1">
    <w:name w:val="xl12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68" w:customStyle="1">
    <w:name w:val="Нет списка2"/>
    <w:next w:val="770"/>
    <w:uiPriority w:val="99"/>
    <w:semiHidden/>
    <w:unhideWhenUsed/>
  </w:style>
  <w:style w:type="numbering" w:styleId="1069" w:customStyle="1">
    <w:name w:val="Нет списка3"/>
    <w:next w:val="770"/>
    <w:uiPriority w:val="99"/>
    <w:semiHidden/>
    <w:unhideWhenUsed/>
  </w:style>
  <w:style w:type="paragraph" w:styleId="1070" w:customStyle="1">
    <w:name w:val="font6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1" w:customStyle="1">
    <w:name w:val="font7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2" w:customStyle="1">
    <w:name w:val="font8"/>
    <w:basedOn w:val="7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73" w:customStyle="1">
    <w:name w:val="Нет списка4"/>
    <w:next w:val="770"/>
    <w:uiPriority w:val="99"/>
    <w:semiHidden/>
    <w:unhideWhenUsed/>
  </w:style>
  <w:style w:type="character" w:styleId="1074" w:customStyle="1">
    <w:name w:val="Нижний колонтитул Знак"/>
    <w:link w:val="845"/>
    <w:uiPriority w:val="99"/>
  </w:style>
  <w:style w:type="paragraph" w:styleId="1075" w:customStyle="1">
    <w:name w:val="Обычный (Интернет)"/>
    <w:basedOn w:val="75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7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77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1078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1079">
    <w:name w:val="annotation reference"/>
    <w:rPr>
      <w:sz w:val="16"/>
      <w:szCs w:val="16"/>
    </w:rPr>
  </w:style>
  <w:style w:type="paragraph" w:styleId="1080">
    <w:name w:val="annotation text"/>
    <w:basedOn w:val="758"/>
    <w:link w:val="1081"/>
  </w:style>
  <w:style w:type="character" w:styleId="1081" w:customStyle="1">
    <w:name w:val="Текст примечания Знак"/>
    <w:basedOn w:val="768"/>
    <w:link w:val="1080"/>
  </w:style>
  <w:style w:type="paragraph" w:styleId="1082">
    <w:name w:val="annotation subject"/>
    <w:basedOn w:val="1080"/>
    <w:next w:val="1080"/>
    <w:link w:val="1083"/>
    <w:rPr>
      <w:b/>
      <w:bCs/>
    </w:rPr>
  </w:style>
  <w:style w:type="character" w:styleId="1083" w:customStyle="1">
    <w:name w:val="Тема примечания Знак"/>
    <w:link w:val="1082"/>
    <w:rPr>
      <w:b/>
      <w:bCs/>
    </w:rPr>
  </w:style>
  <w:style w:type="character" w:styleId="1084" w:customStyle="1">
    <w:name w:val="Основной текст_"/>
    <w:link w:val="1085"/>
    <w:rPr>
      <w:sz w:val="26"/>
      <w:szCs w:val="26"/>
      <w:shd w:val="clear" w:color="auto" w:fill="ffffff"/>
    </w:rPr>
  </w:style>
  <w:style w:type="paragraph" w:styleId="1085" w:customStyle="1">
    <w:name w:val="Основной текст3"/>
    <w:basedOn w:val="758"/>
    <w:link w:val="1084"/>
    <w:pPr>
      <w:jc w:val="both"/>
      <w:spacing w:line="322" w:lineRule="exact"/>
      <w:shd w:val="clear" w:color="auto" w:fill="ffffff"/>
      <w:widowControl w:val="off"/>
    </w:pPr>
    <w:rPr>
      <w:sz w:val="26"/>
      <w:szCs w:val="26"/>
    </w:rPr>
  </w:style>
  <w:style w:type="paragraph" w:styleId="1086">
    <w:name w:val="Normal (Web)"/>
    <w:basedOn w:val="75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8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  <w:style w:type="paragraph" w:styleId="1088" w:customStyle="1">
    <w:name w:val="Основной текст1"/>
    <w:basedOn w:val="758"/>
    <w:pPr>
      <w:jc w:val="center"/>
      <w:spacing w:before="360" w:line="562" w:lineRule="exact"/>
      <w:shd w:val="clear" w:color="auto" w:fill="ffffff"/>
      <w:widowControl w:val="off"/>
    </w:pPr>
    <w:rPr>
      <w:spacing w:val="3"/>
      <w:sz w:val="25"/>
      <w:szCs w:val="25"/>
    </w:rPr>
  </w:style>
  <w:style w:type="character" w:styleId="108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image" Target="media/image2.wmf"/><Relationship Id="rId18" Type="http://schemas.openxmlformats.org/officeDocument/2006/relationships/hyperlink" Target="https://login.consultant.ru/link/?req=doc&amp;base=LAW&amp;n=469774&amp;date=01.09.2025&amp;dst=761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F7DD-BC8F-4736-8BAD-CB0FDB34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8</cp:revision>
  <dcterms:created xsi:type="dcterms:W3CDTF">2025-02-03T11:35:00Z</dcterms:created>
  <dcterms:modified xsi:type="dcterms:W3CDTF">2025-09-18T04:17:47Z</dcterms:modified>
  <cp:version>1048576</cp:version>
</cp:coreProperties>
</file>