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4956"/>
        <w:jc w:val="right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80"/>
        <w:ind w:left="5040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780"/>
        <w:ind w:firstLine="720"/>
        <w:jc w:val="center"/>
        <w:spacing w:before="0" w:after="0" w:line="240" w:lineRule="auto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2874645</wp:posOffset>
                </wp:positionH>
                <wp:positionV relativeFrom="paragraph">
                  <wp:posOffset>-22225</wp:posOffset>
                </wp:positionV>
                <wp:extent cx="531495" cy="669925"/>
                <wp:effectExtent l="0" t="0" r="0" b="0"/>
                <wp:wrapNone/>
                <wp:docPr id="1" name="Рисунок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31495" cy="669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226.35pt;mso-position-horizontal:absolute;mso-position-vertical-relative:text;margin-top:-1.75pt;mso-position-vertical:absolute;width:41.85pt;height:52.7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pStyle w:val="780"/>
        <w:ind w:firstLine="720"/>
        <w:jc w:val="center"/>
        <w:spacing w:before="0" w:after="0" w:line="240" w:lineRule="auto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pStyle w:val="780"/>
        <w:ind w:firstLine="720"/>
        <w:jc w:val="center"/>
        <w:spacing w:before="0" w:after="0" w:line="240" w:lineRule="auto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pStyle w:val="780"/>
        <w:ind w:firstLine="720"/>
        <w:jc w:val="center"/>
        <w:spacing w:before="0" w:after="0" w:line="240" w:lineRule="auto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pStyle w:val="780"/>
        <w:ind w:firstLine="720"/>
        <w:jc w:val="center"/>
        <w:spacing w:before="0" w:after="0" w:line="240" w:lineRule="auto"/>
        <w:tabs>
          <w:tab w:val="center" w:pos="0" w:leader="none"/>
          <w:tab w:val="clear" w:pos="708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 w:cs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24"/>
          <w:lang w:eastAsia="ru-RU"/>
        </w:rPr>
      </w:r>
    </w:p>
    <w:p>
      <w:pPr>
        <w:pStyle w:val="78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Пермская городская Дума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36"/>
          <w:lang w:val="en-US"/>
        </w:rPr>
        <w:t xml:space="preserve">VII</w:t>
      </w:r>
      <w:r>
        <w:rPr>
          <w:rFonts w:ascii="Times New Roman" w:hAnsi="Times New Roman"/>
          <w:b/>
          <w:i w:val="0"/>
          <w:color w:val="000000"/>
          <w:sz w:val="36"/>
        </w:rPr>
        <w:t xml:space="preserve"> созыва</w:t>
      </w:r>
      <w:r/>
      <w:r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6"/>
          <w:szCs w:val="36"/>
          <w:highlight w:val="none"/>
          <w:lang w:eastAsia="ru-RU"/>
        </w:rPr>
      </w:r>
    </w:p>
    <w:p>
      <w:pPr>
        <w:pStyle w:val="780"/>
        <w:jc w:val="center"/>
        <w:spacing w:before="0" w:after="720" w:line="240" w:lineRule="auto"/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  <w:t xml:space="preserve">РЕШЕНИЕ</w:t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pacing w:val="50"/>
          <w:sz w:val="32"/>
          <w:szCs w:val="32"/>
          <w:lang w:eastAsia="ru-RU"/>
        </w:rPr>
      </w:r>
    </w:p>
    <w:p>
      <w:pPr>
        <w:pStyle w:val="78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 внесении изменени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 в Правила благоустройства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pStyle w:val="78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города Перми, утвержденные решением Пермской городской Думы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pStyle w:val="780"/>
        <w:jc w:val="center"/>
        <w:spacing w:before="0" w:after="48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 xml:space="preserve">от 15.12.2020 № 277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pStyle w:val="78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</w:p>
    <w:p>
      <w:pPr>
        <w:pStyle w:val="780"/>
        <w:ind w:firstLine="720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Уставом города Перми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80"/>
        <w:jc w:val="both"/>
        <w:spacing w:before="0"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80"/>
        <w:jc w:val="center"/>
        <w:spacing w:before="0" w:after="0" w:afterAutospacing="0" w:line="240" w:lineRule="auto"/>
        <w:rPr>
          <w:rFonts w:ascii="Times New Roman" w:hAnsi="Times New Roman" w:eastAsia="Calibri" w:cs="Times New Roman"/>
          <w:spacing w:val="50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eastAsia="Calibri" w:cs="Times New Roman"/>
          <w:b/>
          <w:bCs/>
          <w:spacing w:val="50"/>
          <w:sz w:val="28"/>
          <w:szCs w:val="28"/>
        </w:rPr>
        <w:t xml:space="preserve">решила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  <w:r>
        <w:rPr>
          <w:rFonts w:ascii="Times New Roman" w:hAnsi="Times New Roman" w:eastAsia="Calibri" w:cs="Times New Roman"/>
          <w:spacing w:val="50"/>
          <w:sz w:val="28"/>
          <w:szCs w:val="28"/>
        </w:rPr>
      </w:r>
    </w:p>
    <w:p>
      <w:pPr>
        <w:pStyle w:val="78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0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 Внести в Правила благоустройства территории города Перми, утвержденные решением Пермской городской Думы от 15.12.2020 № 277 </w:t>
        <w:br/>
        <w:t xml:space="preserve">(в редакции решений Пермской городской Думы от 24.02.2021 № 40, </w:t>
        <w:br/>
        <w:t xml:space="preserve">от 27.04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.2021 № 102, от 24.08.2021 № 181, от 24.08.2021 № 182, от 21.12.2021 </w:t>
        <w:br/>
        <w:t xml:space="preserve">№ 307, от 26.04.2022 № 81, от 26.04.2022 № 82, от 28.06.2022 № 144, от 23.08.2022 № 171, от 23.08.2022 № 173, от 23.08.2022 № 174, от 25.10.2022 № 233, </w:t>
        <w:br/>
        <w:t xml:space="preserve">от 15.11.2022 № 257, от 20.12.2022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№ 271, от 20.12.2022 № 276, от 20.12.2022 </w:t>
        <w:br/>
        <w:t xml:space="preserve">№ 280, от 24.01.2023 № 10, от 27.06.2023 № 117, от 22.08.2023 № 161, </w:t>
        <w:br/>
        <w:t xml:space="preserve">от 26.09.2023 № 181, от 26.09.2023 № 182, от 26.09.2023 № 188, от 26.09.2023 </w:t>
        <w:br/>
        <w:t xml:space="preserve">№ 189, от 26.09.2023 № 199, от 19.12.2023 № 277, от 27.02.2024 № 27,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br/>
        <w:t xml:space="preserve">от 26.03.2024 № 49, от 26.03.2024 № 54, от 23.04.2024 № 70,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28.05.2024 № 95, от 25.06.2024 № 107,</w:t>
      </w:r>
      <w:r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от 25.06.2024 № 108,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25.06.2024 № 118, от 24.09.2024 </w:t>
        <w:br/>
        <w:t xml:space="preserve">№ 157, от 22.10.2024 № 177, от 19.11.2024 № 203, от 19.11.2024 № 204,</w:t>
      </w:r>
      <w:r/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</w:t>
        <w:br/>
        <w:t xml:space="preserve">от 17.12.2024 № 229, от 25.03.2025 № 48,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24.04.2025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80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от 24.04.2025 №</w:t>
      </w:r>
      <w:hyperlink r:id="rId13" w:tooltip="https://login.consultant.ru/link/?req=doc&amp;base=RLAW368&amp;n=208096&amp;dst=100005&amp;field=134&amp;date=19.06.2025" w:history="1">
        <w:r>
          <w:rPr>
            <w:rStyle w:val="806"/>
            <w:rFonts w:ascii="Times New Roman" w:hAnsi="Times New Roman" w:eastAsia="Times New Roman" w:cs="Times New Roman"/>
            <w:color w:val="0000ff"/>
            <w:sz w:val="28"/>
            <w:szCs w:val="28"/>
            <w:u w:val="none"/>
          </w:rPr>
          <w:t xml:space="preserve"> </w:t>
        </w:r>
        <w:r>
          <w:rPr>
            <w:rStyle w:val="80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81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от 27.05.2025 </w:t>
      </w:r>
      <w:hyperlink r:id="rId14" w:tooltip="https://login.consultant.ru/link/?req=doc&amp;base=RLAW368&amp;n=209141&amp;dst=100005&amp;field=134&amp;date=19.06.2025" w:history="1">
        <w:r>
          <w:rPr>
            <w:rStyle w:val="80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№ 99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27.05.2025 № </w:t>
      </w:r>
      <w:hyperlink r:id="rId15" w:tooltip="https://login.consultant.ru/link/?req=doc&amp;base=RLAW368&amp;n=209142&amp;dst=100005&amp;field=134&amp;date=19.06.2025" w:history="1">
        <w:r>
          <w:rPr>
            <w:rStyle w:val="80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100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27.05.2025 №</w:t>
      </w:r>
      <w:hyperlink r:id="rId16" w:tooltip="https://login.consultant.ru/link/?req=doc&amp;base=RLAW368&amp;n=209143&amp;dst=100005&amp;field=134&amp;date=19.06.2025" w:history="1">
        <w:r>
          <w:rPr>
            <w:rStyle w:val="806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101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), изменения: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80"/>
        <w:ind w:left="0" w:right="0" w:firstLine="720"/>
        <w:jc w:val="both"/>
        <w:spacing w:before="0"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1.1 в подпункте 6.5.1:</w:t>
      </w:r>
      <w:r/>
    </w:p>
    <w:p>
      <w:pPr>
        <w:pStyle w:val="78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1.1.1 абзац четвертый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8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1.1.2 абзац пятый изложить в редакции:</w:t>
      </w:r>
      <w:r>
        <w:rPr>
          <w:rFonts w:ascii="Times New Roman" w:hAnsi="Times New Roman" w:cs="Times New Roman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color w:val="auto"/>
          <w:sz w:val="28"/>
          <w:szCs w:val="28"/>
          <w:u w:val="none"/>
        </w:rPr>
      </w:r>
    </w:p>
    <w:p>
      <w:pPr>
        <w:pStyle w:val="78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«</w:t>
      </w:r>
      <w:r>
        <w:rPr>
          <w:rStyle w:val="806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ar-SA"/>
        </w:rPr>
        <w:t xml:space="preserve">на покрытии допускается наличие слоя снега толщиной не более 10 см,»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8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1.2 подпункт 6.5.2.1 признать утратившим силу;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1.3 абзац первый подпункта 6.5.2.2 изложить в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6.5.2.2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в зимний период должны быть очищены от снега на всю ширину места прохода пешеходов</w:t>
      </w:r>
      <w:r>
        <w:rPr>
          <w:rStyle w:val="806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ar-SA"/>
        </w:rPr>
        <w:t xml:space="preserve"> с учетом допустимого уплотненного слоя снега, предусмотренного абзацем 5 подпункта 6.5.1,</w:t>
      </w:r>
      <w:r>
        <w:rPr>
          <w:rStyle w:val="806"/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  <w:lang w:eastAsia="ar-SA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0"/>
        <w:ind w:left="0" w:right="0"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Требования к содержанию обособленных пешеходных зон, установленные до вступления в силу настоящего решения, применяются </w:t>
        <w:br/>
        <w:t xml:space="preserve">до истечения сроков соответствующих контрактов.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80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3. Настоящее решение вступает в силу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01.03.2026.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0"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4. Обнародовать настоящее решение по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rStyle w:val="806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ar-SA"/>
        </w:rPr>
        <w:t xml:space="preserve">www.gorodperm.ru»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5.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</w:r>
    </w:p>
    <w:p>
      <w:pPr>
        <w:pStyle w:val="780"/>
        <w:ind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0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780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80"/>
        <w:jc w:val="left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Пермской городской Думы</w:t>
        <w:tab/>
        <w:tab/>
        <w:tab/>
        <w:tab/>
        <w:tab/>
        <w:t xml:space="preserve">                         Д.В. Малютин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80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80"/>
        <w:jc w:val="both"/>
        <w:spacing w:before="0" w:after="0" w:line="240" w:lineRule="auto"/>
        <w:widowControl w:val="off"/>
        <w:tabs>
          <w:tab w:val="clear" w:pos="708" w:leader="none"/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780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города Перми </w:t>
        <w:tab/>
        <w:tab/>
        <w:tab/>
        <w:tab/>
        <w:tab/>
        <w:tab/>
        <w:tab/>
        <w:tab/>
        <w:t xml:space="preserve">         Э.О. Соснин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80"/>
        <w:jc w:val="left"/>
        <w:spacing w:before="0" w:beforeAutospacing="0" w:after="200" w:afterAutospacing="0" w:line="276" w:lineRule="auto"/>
        <w:widowControl/>
      </w:pPr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363" w:right="567" w:bottom="1134" w:left="1417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ohit Devanagari">
    <w:panose1 w:val="020B0600000000000000"/>
  </w:font>
  <w:font w:name="Open Sans">
    <w:panose1 w:val="020B060603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jc w:val="center"/>
    </w:pPr>
    <w:r>
      <w:rPr>
        <w:rFonts w:ascii="Times New Roman" w:hAnsi="Times New Roman" w:eastAsia="Times New Roman" w:cs="Times New Roman"/>
        <w:sz w:val="20"/>
        <w:szCs w:val="20"/>
        <w:highlight w:val="none"/>
      </w:rPr>
    </w:r>
    <w:r>
      <w:rPr>
        <w:rFonts w:ascii="Times New Roman" w:hAnsi="Times New Roman" w:eastAsia="Times New Roman" w:cs="Times New Roman"/>
        <w:sz w:val="20"/>
        <w:szCs w:val="20"/>
        <w:highlight w:val="none"/>
      </w:rPr>
    </w:r>
  </w:p>
  <w:p>
    <w:pPr>
      <w:pStyle w:val="826"/>
      <w:jc w:val="center"/>
      <w:rPr>
        <w:rFonts w:ascii="Times New Roman" w:hAnsi="Times New Roman" w:eastAsia="Times New Roman" w:cs="Times New Roman"/>
        <w:sz w:val="20"/>
        <w:szCs w:val="20"/>
        <w:highlight w:val="none"/>
      </w:rPr>
    </w:pPr>
    <w:r>
      <w:rPr>
        <w:rFonts w:ascii="Times New Roman" w:hAnsi="Times New Roman" w:eastAsia="Times New Roman" w:cs="Times New Roman"/>
        <w:sz w:val="20"/>
        <w:szCs w:val="20"/>
        <w:highlight w:val="none"/>
      </w:rPr>
    </w:r>
    <w:r>
      <w:rPr>
        <w:rFonts w:ascii="Times New Roman" w:hAnsi="Times New Roman" w:eastAsia="Times New Roman" w:cs="Times New Roman"/>
        <w:sz w:val="20"/>
        <w:szCs w:val="20"/>
        <w:highlight w:val="none"/>
      </w:rPr>
    </w:r>
  </w:p>
  <w:p>
    <w:pPr>
      <w:pStyle w:val="826"/>
      <w:jc w:val="center"/>
      <w:rPr>
        <w:rFonts w:ascii="Times New Roman" w:hAnsi="Times New Roman" w:eastAsia="Times New Roman" w:cs="Times New Roman"/>
        <w:sz w:val="20"/>
        <w:szCs w:val="20"/>
        <w:highlight w:val="none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/>
  </w:p>
  <w:p>
    <w:pPr>
      <w:pStyle w:val="826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6"/>
      <w:rPr>
        <w:sz w:val="2"/>
        <w:szCs w:val="2"/>
      </w:rPr>
    </w:pPr>
    <w:r/>
    <w:r>
      <w:rPr>
        <w:sz w:val="2"/>
        <w:szCs w:val="2"/>
      </w:rPr>
    </w:r>
    <w:r>
      <w:rPr>
        <w:sz w:val="2"/>
        <w:szCs w:val="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basedOn w:val="813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basedOn w:val="813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basedOn w:val="813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basedOn w:val="81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basedOn w:val="81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basedOn w:val="81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basedOn w:val="81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basedOn w:val="81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basedOn w:val="81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basedOn w:val="813"/>
    <w:uiPriority w:val="10"/>
    <w:qFormat/>
    <w:rPr>
      <w:sz w:val="48"/>
      <w:szCs w:val="48"/>
    </w:rPr>
  </w:style>
  <w:style w:type="character" w:styleId="800">
    <w:name w:val="Subtitle Char"/>
    <w:basedOn w:val="813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basedOn w:val="813"/>
    <w:uiPriority w:val="99"/>
    <w:qFormat/>
  </w:style>
  <w:style w:type="character" w:styleId="804">
    <w:name w:val="Footer Char"/>
    <w:basedOn w:val="813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 w:default="1">
    <w:name w:val="Default Paragraph Font"/>
    <w:uiPriority w:val="1"/>
    <w:semiHidden/>
    <w:unhideWhenUsed/>
    <w:qFormat/>
  </w:style>
  <w:style w:type="character" w:styleId="814" w:customStyle="1">
    <w:name w:val="Текст выноски Знак"/>
    <w:basedOn w:val="813"/>
    <w:uiPriority w:val="99"/>
    <w:semiHidden/>
    <w:qFormat/>
    <w:rPr>
      <w:rFonts w:ascii="Tahoma" w:hAnsi="Tahoma" w:cs="Tahoma"/>
      <w:sz w:val="16"/>
      <w:szCs w:val="16"/>
    </w:rPr>
  </w:style>
  <w:style w:type="paragraph" w:styleId="815">
    <w:name w:val="Заголовок"/>
    <w:basedOn w:val="780"/>
    <w:next w:val="816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16">
    <w:name w:val="Body Text"/>
    <w:basedOn w:val="780"/>
    <w:pPr>
      <w:spacing w:before="0" w:after="140" w:line="276" w:lineRule="auto"/>
    </w:pPr>
  </w:style>
  <w:style w:type="paragraph" w:styleId="817">
    <w:name w:val="List"/>
    <w:basedOn w:val="816"/>
    <w:rPr>
      <w:rFonts w:cs="Lohit Devanagari"/>
    </w:rPr>
  </w:style>
  <w:style w:type="paragraph" w:styleId="818">
    <w:name w:val="Caption"/>
    <w:basedOn w:val="7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19">
    <w:name w:val="Указатель"/>
    <w:basedOn w:val="780"/>
    <w:qFormat/>
    <w:pPr>
      <w:suppressLineNumbers/>
    </w:pPr>
    <w:rPr>
      <w:rFonts w:cs="Lohit Devanagari"/>
    </w:rPr>
  </w:style>
  <w:style w:type="paragraph" w:styleId="820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1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2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23">
    <w:name w:val="Quote"/>
    <w:basedOn w:val="780"/>
    <w:uiPriority w:val="29"/>
    <w:qFormat/>
    <w:pPr>
      <w:ind w:left="720" w:right="720"/>
    </w:pPr>
    <w:rPr>
      <w:i/>
    </w:rPr>
  </w:style>
  <w:style w:type="paragraph" w:styleId="824">
    <w:name w:val="Intense Quote"/>
    <w:basedOn w:val="780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5">
    <w:name w:val="Колонтитул"/>
    <w:basedOn w:val="780"/>
    <w:qFormat/>
  </w:style>
  <w:style w:type="paragraph" w:styleId="826">
    <w:name w:val="Head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7">
    <w:name w:val="Footer"/>
    <w:basedOn w:val="780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28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29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0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31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32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33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34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35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36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37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38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39">
    <w:name w:val="Index Heading"/>
    <w:basedOn w:val="815"/>
  </w:style>
  <w:style w:type="paragraph" w:styleId="840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1">
    <w:name w:val="table of figures"/>
    <w:basedOn w:val="780"/>
    <w:uiPriority w:val="99"/>
    <w:unhideWhenUsed/>
    <w:pPr>
      <w:spacing w:before="0" w:after="0" w:afterAutospacing="0"/>
    </w:pPr>
  </w:style>
  <w:style w:type="paragraph" w:styleId="842">
    <w:name w:val="List Paragraph"/>
    <w:basedOn w:val="780"/>
    <w:uiPriority w:val="34"/>
    <w:qFormat/>
    <w:pPr>
      <w:contextualSpacing/>
      <w:ind w:left="720"/>
      <w:spacing w:before="0" w:after="200"/>
    </w:pPr>
  </w:style>
  <w:style w:type="paragraph" w:styleId="843">
    <w:name w:val="Balloon Text"/>
    <w:basedOn w:val="780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numbering" w:styleId="844" w:default="1">
    <w:name w:val="No List"/>
    <w:uiPriority w:val="99"/>
    <w:semiHidden/>
    <w:unhideWhenUsed/>
    <w:qFormat/>
  </w:style>
  <w:style w:type="table" w:styleId="845" w:default="1">
    <w:name w:val="Normal Table"/>
    <w:uiPriority w:val="99"/>
    <w:semiHidden/>
    <w:unhideWhenUsed/>
    <w:tblPr/>
  </w:style>
  <w:style w:type="paragraph" w:styleId="1_1474" w:customStyle="1">
    <w:name w:val="Название объекта1"/>
    <w:basedOn w:val="641"/>
    <w:next w:val="641"/>
    <w:link w:val="641"/>
    <w:uiPriority w:val="35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/>
      <w:iCs/>
      <w:caps w:val="0"/>
      <w:smallCaps w:val="0"/>
      <w:strike w:val="0"/>
      <w:vanish w:val="0"/>
      <w:color w:val="1f497d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368&amp;n=208096&amp;dst=100005&amp;field=134&amp;date=19.06.2025" TargetMode="External"/><Relationship Id="rId14" Type="http://schemas.openxmlformats.org/officeDocument/2006/relationships/hyperlink" Target="https://login.consultant.ru/link/?req=doc&amp;base=RLAW368&amp;n=209141&amp;dst=100005&amp;field=134&amp;date=19.06.2025" TargetMode="External"/><Relationship Id="rId15" Type="http://schemas.openxmlformats.org/officeDocument/2006/relationships/hyperlink" Target="https://login.consultant.ru/link/?req=doc&amp;base=RLAW368&amp;n=209142&amp;dst=100005&amp;field=134&amp;date=19.06.2025" TargetMode="External"/><Relationship Id="rId16" Type="http://schemas.openxmlformats.org/officeDocument/2006/relationships/hyperlink" Target="https://login.consultant.ru/link/?req=doc&amp;base=RLAW368&amp;n=209143&amp;dst=100005&amp;field=134&amp;date=19.06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A8BB4-890E-4F89-8C04-85784EEF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StartSoft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Попонина Екатерина Сергеевна</dc:creator>
  <dc:description/>
  <dc:language>ru-RU</dc:language>
  <cp:revision>25</cp:revision>
  <dcterms:created xsi:type="dcterms:W3CDTF">2024-02-21T10:38:00Z</dcterms:created>
  <dcterms:modified xsi:type="dcterms:W3CDTF">2025-08-11T12:36:51Z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