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firstLine="0"/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6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6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7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 w:val="0"/>
                                <w:i w:val="0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highlight w:val="none"/>
                              </w:rPr>
                            </w: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104" cy="658717"/>
                                      <wp:effectExtent l="6350" t="6350" r="6350" b="6350"/>
                                      <wp:docPr id="2" name="_x0000_i102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28172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flipH="0" flipV="0">
                                                <a:off x="0" y="0"/>
                                                <a:ext cx="528103" cy="6587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58pt;height:51.87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highlight w:val="none"/>
                              </w:rPr>
                            </w:r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highlight w:val="none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877"/>
                              <w:jc w:val="center"/>
                              <w:spacing w:after="0" w:afterAutospacing="0" w:line="360" w:lineRule="auto"/>
                              <w:rPr>
                                <w:rFonts w:ascii="Times New Roman" w:hAnsi="Times New Roman"/>
                                <w:b/>
                                <w:bCs w:val="0"/>
                                <w:i w:val="0"/>
                                <w:color w:val="000000"/>
                                <w:sz w:val="36"/>
                                <w:szCs w:val="36"/>
                                <w:highlight w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 w:val="0"/>
                                <w:i w:val="0"/>
                                <w:color w:val="000000"/>
                                <w:sz w:val="36"/>
                                <w:szCs w:val="36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858"/>
                              <w:jc w:val="center"/>
                              <w:spacing w:after="0" w:afterAutospacing="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858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58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58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58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58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6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6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62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w:rPr>
                          <w:lang w:eastAsia="ko-KR"/>
                        </w:rPr>
                      </w:r>
                      <w:r>
                        <w:rPr>
                          <w:lang w:eastAsia="ko-KR"/>
                        </w:rPr>
                      </w:r>
                      <w:r>
                        <w:rPr>
                          <w:lang w:eastAsia="ko-KR"/>
                        </w:rPr>
                      </w:r>
                      <w:r>
                        <w:rPr>
                          <w:lang w:eastAsia="ko-KR"/>
                        </w:rPr>
                      </w:r>
                      <w:r>
                        <w:rPr>
                          <w:lang w:eastAsia="ko-KR"/>
                        </w:rPr>
                      </w:r>
                      <w:r>
                        <w:rPr>
                          <w:lang w:eastAsia="ko-KR"/>
                        </w:rPr>
                      </w:r>
                      <w:r>
                        <w:rPr>
                          <w:lang w:eastAsia="ko-KR"/>
                        </w:rPr>
                      </w:r>
                      <w:r>
                        <w:rPr>
                          <w:lang w:eastAsia="ko-KR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7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bCs w:val="0"/>
                          <w:i w:val="0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highlight w:val="none"/>
                        </w:rPr>
                      </w: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104" cy="658717"/>
                                <wp:effectExtent l="6350" t="6350" r="6350" b="6350"/>
                                <wp:docPr id="2" name="_x0000_i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28172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flipH="0" flipV="0">
                                          <a:off x="0" y="0"/>
                                          <a:ext cx="528103" cy="6587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58pt;height:51.87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highlight w:val="none"/>
                        </w:rPr>
                      </w:r>
                      <w:r>
                        <w:rPr>
                          <w:lang w:eastAsia="ko-KR"/>
                        </w:rPr>
                      </w:r>
                      <w:r>
                        <w:rPr>
                          <w:lang w:eastAsia="ko-KR"/>
                        </w:rPr>
                      </w:r>
                      <w:r>
                        <w:rPr>
                          <w:lang w:eastAsia="ko-KR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highlight w:val="none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highlight w:val="none"/>
                        </w:rPr>
                      </w:r>
                    </w:p>
                    <w:p>
                      <w:pPr>
                        <w:pStyle w:val="877"/>
                        <w:jc w:val="center"/>
                        <w:spacing w:after="0" w:afterAutospacing="0" w:line="360" w:lineRule="auto"/>
                        <w:rPr>
                          <w:rFonts w:ascii="Times New Roman" w:hAnsi="Times New Roman"/>
                          <w:b/>
                          <w:bCs w:val="0"/>
                          <w:i w:val="0"/>
                          <w:color w:val="000000"/>
                          <w:sz w:val="36"/>
                          <w:szCs w:val="36"/>
                          <w:highlight w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 w:val="0"/>
                          <w:i w:val="0"/>
                          <w:color w:val="000000"/>
                          <w:sz w:val="36"/>
                          <w:szCs w:val="36"/>
                          <w:highlight w:val="none"/>
                        </w:rPr>
                      </w:r>
                    </w:p>
                    <w:p>
                      <w:pPr>
                        <w:pStyle w:val="858"/>
                        <w:jc w:val="center"/>
                        <w:spacing w:after="0" w:afterAutospacing="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858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58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58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58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5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  <w:szCs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8"/>
        <w:ind w:firstLine="0"/>
        <w:jc w:val="center"/>
        <w:spacing w:after="72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</w:t>
      </w:r>
      <w:r>
        <w:rPr>
          <w:b/>
          <w:bCs/>
          <w:szCs w:val="28"/>
        </w:rPr>
        <w:t xml:space="preserve">я</w:t>
      </w:r>
      <w:r>
        <w:rPr>
          <w:b/>
          <w:bCs/>
          <w:szCs w:val="28"/>
        </w:rPr>
        <w:t xml:space="preserve"> в решение Пермской городской Думы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от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26.01.2016 №</w:t>
      </w:r>
      <w:r>
        <w:rPr>
          <w:b/>
          <w:bCs/>
          <w:szCs w:val="28"/>
        </w:rPr>
        <w:t xml:space="preserve"> </w:t>
      </w:r>
      <w:r>
        <w:rPr>
          <w:b/>
          <w:bCs/>
          <w:szCs w:val="28"/>
        </w:rPr>
        <w:t xml:space="preserve">6 «Об установлении расходного обязательства города Перми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по</w:t>
      </w:r>
      <w:r>
        <w:rPr>
          <w:b/>
          <w:bCs/>
          <w:szCs w:val="28"/>
        </w:rPr>
        <w:t xml:space="preserve"> </w:t>
      </w:r>
      <w:r>
        <w:rPr>
          <w:b/>
          <w:bCs/>
          <w:szCs w:val="28"/>
        </w:rPr>
        <w:t xml:space="preserve">организации перевозки детей, проживающих в отдаленном жилом районе (микрорайон Налимиха), не имеющем общеобразовательного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учреждения, к</w:t>
      </w:r>
      <w:r>
        <w:rPr>
          <w:b/>
          <w:bCs/>
          <w:szCs w:val="28"/>
        </w:rPr>
        <w:t xml:space="preserve"> </w:t>
      </w:r>
      <w:r>
        <w:rPr>
          <w:b/>
          <w:bCs/>
          <w:szCs w:val="28"/>
        </w:rPr>
        <w:t xml:space="preserve">месту обучения в муниципальное автономное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общеобразовательное у</w:t>
      </w:r>
      <w:r>
        <w:rPr>
          <w:b/>
          <w:bCs/>
          <w:szCs w:val="28"/>
        </w:rPr>
        <w:t xml:space="preserve">ч</w:t>
      </w:r>
      <w:r>
        <w:rPr>
          <w:b/>
          <w:bCs/>
          <w:szCs w:val="28"/>
        </w:rPr>
        <w:t xml:space="preserve">реждение «Химико-технологическая школа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«СинТез» г. Перми и обратно»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72"/>
        <w:ind w:firstLine="709"/>
        <w:jc w:val="both"/>
        <w:spacing w:after="240"/>
      </w:pPr>
      <w:r>
        <w:rPr>
          <w:rFonts w:eastAsia="Calibri"/>
          <w:lang w:eastAsia="en-US"/>
        </w:rPr>
        <w:t xml:space="preserve">В соотве</w:t>
      </w:r>
      <w:r>
        <w:rPr>
          <w:rFonts w:eastAsia="Calibri"/>
          <w:lang w:eastAsia="en-US"/>
        </w:rPr>
        <w:t xml:space="preserve">т</w:t>
      </w:r>
      <w:r>
        <w:rPr>
          <w:rFonts w:eastAsia="Calibri"/>
          <w:lang w:eastAsia="en-US"/>
        </w:rPr>
        <w:t xml:space="preserve">ствии с </w:t>
      </w:r>
      <w:r>
        <w:rPr>
          <w:rFonts w:eastAsia="Calibri"/>
          <w:lang w:eastAsia="en-US"/>
        </w:rPr>
        <w:t xml:space="preserve">Уставом</w:t>
      </w:r>
      <w:r>
        <w:t xml:space="preserve"> города Перми </w:t>
      </w:r>
      <w:r/>
    </w:p>
    <w:p>
      <w:pPr>
        <w:pStyle w:val="858"/>
        <w:ind w:firstLine="0"/>
        <w:jc w:val="center"/>
        <w:spacing w:after="240" w:line="240" w:lineRule="auto"/>
        <w:rPr>
          <w:rFonts w:eastAsia="Calibri"/>
          <w:spacing w:val="50"/>
          <w:lang w:eastAsia="en-US"/>
        </w:rPr>
      </w:pPr>
      <w:r>
        <w:rPr>
          <w:rFonts w:eastAsia="Calibri"/>
          <w:lang w:eastAsia="en-US"/>
        </w:rPr>
        <w:t xml:space="preserve">Пермская городск</w:t>
      </w:r>
      <w:r>
        <w:rPr>
          <w:rFonts w:eastAsia="Calibri"/>
          <w:lang w:eastAsia="en-US"/>
        </w:rPr>
        <w:t xml:space="preserve">ая Дума </w:t>
      </w:r>
      <w:r>
        <w:rPr>
          <w:rFonts w:eastAsia="Calibri"/>
          <w:b/>
          <w:bCs/>
          <w:spacing w:val="50"/>
          <w:lang w:eastAsia="en-US"/>
        </w:rPr>
        <w:t xml:space="preserve">решила</w:t>
      </w:r>
      <w:r>
        <w:rPr>
          <w:rFonts w:eastAsia="Calibri"/>
          <w:b/>
          <w:spacing w:val="50"/>
          <w:lang w:eastAsia="en-US"/>
        </w:rPr>
        <w:t xml:space="preserve">:</w:t>
      </w:r>
      <w:r>
        <w:rPr>
          <w:rFonts w:eastAsia="Calibri"/>
          <w:spacing w:val="50"/>
          <w:lang w:eastAsia="en-US"/>
        </w:rPr>
      </w:r>
      <w:r>
        <w:rPr>
          <w:rFonts w:eastAsia="Calibri"/>
          <w:spacing w:val="50"/>
          <w:lang w:eastAsia="en-US"/>
        </w:rPr>
      </w:r>
    </w:p>
    <w:p>
      <w:pPr>
        <w:pStyle w:val="858"/>
        <w:ind w:firstLine="709"/>
        <w:spacing w:line="240" w:lineRule="auto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. Внести в </w:t>
      </w:r>
      <w:r>
        <w:rPr>
          <w:szCs w:val="28"/>
        </w:rPr>
        <w:t xml:space="preserve">решение</w:t>
      </w:r>
      <w:r>
        <w:rPr>
          <w:szCs w:val="28"/>
        </w:rPr>
        <w:t xml:space="preserve"> Пер</w:t>
      </w:r>
      <w:r>
        <w:rPr>
          <w:szCs w:val="28"/>
        </w:rPr>
        <w:t xml:space="preserve">мской городской Думы от 26.01.</w:t>
      </w:r>
      <w:r>
        <w:rPr>
          <w:szCs w:val="28"/>
        </w:rPr>
        <w:t xml:space="preserve">2016 № 6 «Об</w:t>
      </w:r>
      <w:r>
        <w:rPr>
          <w:szCs w:val="28"/>
        </w:rPr>
        <w:t xml:space="preserve"> </w:t>
      </w:r>
      <w:r>
        <w:rPr>
          <w:szCs w:val="28"/>
        </w:rPr>
        <w:t xml:space="preserve">установлении расходного обязательства города Перми по организации пер</w:t>
      </w:r>
      <w:r>
        <w:rPr>
          <w:szCs w:val="28"/>
        </w:rPr>
        <w:t xml:space="preserve">е</w:t>
      </w:r>
      <w:r>
        <w:rPr>
          <w:szCs w:val="28"/>
        </w:rPr>
        <w:t xml:space="preserve">возки детей, проживающих в отдаленном жилом районе (микрорайон Налимиха),</w:t>
      </w:r>
      <w:r>
        <w:rPr>
          <w:szCs w:val="28"/>
        </w:rPr>
        <w:t xml:space="preserve"> </w:t>
      </w:r>
      <w:r>
        <w:rPr>
          <w:szCs w:val="28"/>
        </w:rPr>
        <w:t xml:space="preserve">не имеющем общеобразовательного учреждения, к месту обучения</w:t>
      </w:r>
      <w:r>
        <w:rPr>
          <w:szCs w:val="28"/>
        </w:rPr>
        <w:t xml:space="preserve"> в муниц</w:t>
      </w:r>
      <w:r>
        <w:rPr>
          <w:szCs w:val="28"/>
        </w:rPr>
        <w:t xml:space="preserve">и</w:t>
      </w:r>
      <w:r>
        <w:rPr>
          <w:szCs w:val="28"/>
        </w:rPr>
        <w:t xml:space="preserve">пальное автономное общеобразовательное учреждение «Химико-технологическая школа «СинТез» г. Перми и обратно» (</w:t>
      </w:r>
      <w:r>
        <w:rPr>
          <w:szCs w:val="28"/>
        </w:rPr>
        <w:t xml:space="preserve">в редакции решений Пермской городской Думы от 23.08.2016 </w:t>
      </w:r>
      <w:r>
        <w:rPr>
          <w:szCs w:val="28"/>
        </w:rPr>
        <w:t xml:space="preserve">№</w:t>
      </w:r>
      <w:r>
        <w:rPr>
          <w:szCs w:val="28"/>
        </w:rPr>
        <w:t xml:space="preserve"> 179, от 22.08.2017 </w:t>
      </w:r>
      <w:r>
        <w:rPr>
          <w:szCs w:val="28"/>
        </w:rPr>
        <w:t xml:space="preserve">№</w:t>
      </w:r>
      <w:r>
        <w:rPr>
          <w:szCs w:val="28"/>
        </w:rPr>
        <w:t xml:space="preserve"> 150, </w:t>
        <w:br/>
        <w:t xml:space="preserve">от 28.08.2018 </w:t>
      </w:r>
      <w:r>
        <w:rPr>
          <w:szCs w:val="28"/>
        </w:rPr>
        <w:t xml:space="preserve">№</w:t>
      </w:r>
      <w:r>
        <w:rPr>
          <w:szCs w:val="28"/>
        </w:rPr>
        <w:t xml:space="preserve"> 135, о</w:t>
      </w:r>
      <w:r>
        <w:rPr>
          <w:szCs w:val="28"/>
        </w:rPr>
        <w:t xml:space="preserve">т</w:t>
      </w:r>
      <w:r>
        <w:rPr>
          <w:szCs w:val="28"/>
        </w:rPr>
        <w:t xml:space="preserve"> </w:t>
      </w:r>
      <w:r>
        <w:rPr>
          <w:szCs w:val="28"/>
        </w:rPr>
        <w:t xml:space="preserve">27.08.2019 </w:t>
      </w:r>
      <w:r>
        <w:rPr>
          <w:szCs w:val="28"/>
        </w:rPr>
        <w:t xml:space="preserve">№</w:t>
      </w:r>
      <w:r>
        <w:rPr>
          <w:szCs w:val="28"/>
        </w:rPr>
        <w:t xml:space="preserve"> 157, от 25.02.2020 </w:t>
      </w:r>
      <w:r>
        <w:rPr>
          <w:szCs w:val="28"/>
        </w:rPr>
        <w:t xml:space="preserve">№</w:t>
      </w:r>
      <w:r>
        <w:rPr>
          <w:szCs w:val="28"/>
        </w:rPr>
        <w:t xml:space="preserve"> 42, от 25.08.2020 </w:t>
      </w:r>
      <w:r>
        <w:rPr>
          <w:szCs w:val="28"/>
        </w:rPr>
        <w:br/>
        <w:t xml:space="preserve">№</w:t>
      </w:r>
      <w:r>
        <w:rPr>
          <w:szCs w:val="28"/>
        </w:rPr>
        <w:t xml:space="preserve"> 135, от 24.08.2021 </w:t>
      </w:r>
      <w:r>
        <w:rPr>
          <w:szCs w:val="28"/>
        </w:rPr>
        <w:t xml:space="preserve">№ </w:t>
      </w:r>
      <w:r>
        <w:rPr>
          <w:szCs w:val="28"/>
        </w:rPr>
        <w:t xml:space="preserve">164, от 23.08.2022 </w:t>
      </w:r>
      <w:r>
        <w:rPr>
          <w:szCs w:val="28"/>
        </w:rPr>
        <w:t xml:space="preserve">№</w:t>
      </w:r>
      <w:r>
        <w:rPr>
          <w:szCs w:val="28"/>
        </w:rPr>
        <w:t xml:space="preserve"> 167, от 22.08.2023 </w:t>
      </w:r>
      <w:r>
        <w:rPr>
          <w:szCs w:val="28"/>
        </w:rPr>
        <w:t xml:space="preserve">№</w:t>
      </w:r>
      <w:r>
        <w:rPr>
          <w:szCs w:val="28"/>
        </w:rPr>
        <w:t xml:space="preserve"> 136</w:t>
      </w:r>
      <w:r>
        <w:rPr>
          <w:szCs w:val="28"/>
        </w:rPr>
        <w:t xml:space="preserve">, </w:t>
        <w:br/>
        <w:t xml:space="preserve">от 27.08.2024 № 132</w:t>
      </w:r>
      <w:r>
        <w:rPr>
          <w:szCs w:val="28"/>
        </w:rPr>
        <w:t xml:space="preserve">) </w:t>
      </w:r>
      <w:r>
        <w:rPr>
          <w:szCs w:val="28"/>
        </w:rPr>
        <w:t xml:space="preserve">изменени</w:t>
      </w:r>
      <w:r>
        <w:rPr>
          <w:szCs w:val="28"/>
        </w:rPr>
        <w:t xml:space="preserve">е, заменив </w:t>
      </w:r>
      <w:r>
        <w:t xml:space="preserve">в пункте 1 цифры «31.</w:t>
      </w:r>
      <w:r>
        <w:t xml:space="preserve">12</w:t>
      </w:r>
      <w:r>
        <w:t xml:space="preserve">.202</w:t>
      </w:r>
      <w:r>
        <w:t xml:space="preserve">5</w:t>
      </w:r>
      <w:r>
        <w:t xml:space="preserve">» цифрами «31.</w:t>
      </w:r>
      <w:r>
        <w:t xml:space="preserve">05</w:t>
      </w:r>
      <w:r>
        <w:t xml:space="preserve">.202</w:t>
      </w:r>
      <w:r>
        <w:t xml:space="preserve">6</w:t>
      </w:r>
      <w:r>
        <w:t xml:space="preserve">»</w:t>
      </w:r>
      <w: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69"/>
        <w:ind w:firstLine="709"/>
        <w:spacing w:line="240" w:lineRule="auto"/>
        <w:rPr>
          <w:szCs w:val="28"/>
        </w:rPr>
      </w:pPr>
      <w:r>
        <w:rPr>
          <w:szCs w:val="28"/>
          <w:lang w:val="ru-RU" w:eastAsia="ru-RU"/>
        </w:rPr>
        <w:t xml:space="preserve">2</w:t>
      </w:r>
      <w:r>
        <w:rPr>
          <w:szCs w:val="28"/>
          <w:lang w:val="ru-RU" w:eastAsia="ru-RU"/>
        </w:rPr>
        <w:t xml:space="preserve">. </w:t>
      </w:r>
      <w:r>
        <w:rPr>
          <w:color w:val="000000"/>
          <w:szCs w:val="28"/>
        </w:rPr>
        <w:t xml:space="preserve">Настоящее </w:t>
      </w:r>
      <w:r>
        <w:rPr>
          <w:color w:val="000000"/>
          <w:szCs w:val="28"/>
          <w:lang w:val="ru-RU"/>
        </w:rPr>
        <w:t xml:space="preserve">решение</w:t>
      </w:r>
      <w:r>
        <w:rPr>
          <w:color w:val="000000"/>
          <w:szCs w:val="28"/>
        </w:rPr>
        <w:t xml:space="preserve"> вступает в силу со дня его официального опу</w:t>
      </w:r>
      <w:r>
        <w:rPr>
          <w:color w:val="000000"/>
          <w:szCs w:val="28"/>
        </w:rPr>
        <w:t xml:space="preserve">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Cs w:val="28"/>
        </w:rPr>
      </w:r>
      <w:r>
        <w:rPr>
          <w:szCs w:val="28"/>
        </w:rPr>
      </w:r>
    </w:p>
    <w:p>
      <w:pPr>
        <w:pStyle w:val="872"/>
        <w:ind w:firstLine="709"/>
        <w:jc w:val="both"/>
      </w:pPr>
      <w:r>
        <w:t xml:space="preserve">3</w:t>
      </w:r>
      <w:r>
        <w:t xml:space="preserve">. </w:t>
      </w:r>
      <w:r>
        <w:t xml:space="preserve">Обнародовать настоящее решение посредством официального опублик</w:t>
      </w:r>
      <w:r>
        <w:t xml:space="preserve">о</w:t>
      </w:r>
      <w:r>
        <w:t xml:space="preserve">вания в печатном средстве массовой информации «Официальный бюллетень о</w:t>
      </w:r>
      <w:r>
        <w:t xml:space="preserve">р</w:t>
      </w:r>
      <w:r>
        <w:t xml:space="preserve">ганов местного самоуправления муниципального образования город Пермь», а</w:t>
      </w:r>
      <w:r>
        <w:t xml:space="preserve"> также в сетевом издании «Официальный сайт муниципального образования г</w:t>
      </w:r>
      <w:r>
        <w:t xml:space="preserve">о</w:t>
      </w:r>
      <w:r>
        <w:t xml:space="preserve">род Пермь </w:t>
      </w:r>
      <w:r>
        <w:t xml:space="preserve">www.gorodperm.ru»</w:t>
      </w:r>
      <w:r>
        <w:t xml:space="preserve">.</w:t>
      </w:r>
      <w:r/>
    </w:p>
    <w:p>
      <w:pPr>
        <w:pStyle w:val="872"/>
        <w:ind w:firstLine="709"/>
        <w:jc w:val="both"/>
      </w:pPr>
      <w:r/>
      <w:r/>
    </w:p>
    <w:p>
      <w:pPr>
        <w:pStyle w:val="872"/>
        <w:ind w:firstLine="709"/>
        <w:jc w:val="both"/>
      </w:pPr>
      <w:r/>
      <w:r/>
    </w:p>
    <w:p>
      <w:pPr>
        <w:pStyle w:val="872"/>
        <w:ind w:firstLine="709"/>
        <w:jc w:val="both"/>
      </w:pPr>
      <w:r/>
      <w:r/>
    </w:p>
    <w:p>
      <w:pPr>
        <w:pStyle w:val="872"/>
        <w:ind w:firstLine="709"/>
        <w:jc w:val="both"/>
      </w:pPr>
      <w:r>
        <w:t xml:space="preserve">4</w:t>
      </w:r>
      <w:r>
        <w:t xml:space="preserve">. Контроль</w:t>
      </w:r>
      <w:r>
        <w:t xml:space="preserve"> за исполнением</w:t>
      </w:r>
      <w:r>
        <w:t xml:space="preserve"> настоящего</w:t>
      </w:r>
      <w:r>
        <w:t xml:space="preserve"> решения возложить на комитет П</w:t>
      </w:r>
      <w:r>
        <w:t xml:space="preserve">ермской г</w:t>
      </w:r>
      <w:r>
        <w:t xml:space="preserve">о</w:t>
      </w:r>
      <w:r>
        <w:t xml:space="preserve">родской Думы </w:t>
      </w:r>
      <w:r>
        <w:t xml:space="preserve">по </w:t>
      </w:r>
      <w:r>
        <w:t xml:space="preserve">социальной политике</w:t>
      </w:r>
      <w:r>
        <w:t xml:space="preserve">.</w:t>
      </w:r>
      <w:r/>
    </w:p>
    <w:p>
      <w:pPr>
        <w:pStyle w:val="858"/>
        <w:ind w:firstLine="0"/>
        <w:spacing w:before="720" w:line="240" w:lineRule="auto"/>
        <w:tabs>
          <w:tab w:val="left" w:pos="900" w:leader="none"/>
        </w:tabs>
        <w:rPr>
          <w:color w:val="000000"/>
          <w:szCs w:val="28"/>
        </w:rPr>
        <w:outlineLvl w:val="1"/>
      </w:pPr>
      <w:r>
        <w:rPr>
          <w:color w:val="000000"/>
          <w:szCs w:val="28"/>
        </w:rPr>
        <w:t xml:space="preserve">Председатель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58"/>
        <w:ind w:firstLine="0"/>
        <w:spacing w:after="720" w:line="240" w:lineRule="auto"/>
        <w:tabs>
          <w:tab w:val="left" w:pos="900" w:leader="none"/>
          <w:tab w:val="left" w:pos="1843" w:leader="none"/>
        </w:tabs>
        <w:rPr>
          <w:color w:val="000000"/>
          <w:szCs w:val="28"/>
        </w:rPr>
        <w:outlineLvl w:val="1"/>
      </w:pPr>
      <w:r>
        <w:rPr>
          <w:color w:val="000000"/>
          <w:szCs w:val="28"/>
        </w:rPr>
        <w:t xml:space="preserve">Пермской городской Думы</w:t>
        <w:tab/>
        <w:tab/>
        <w:tab/>
        <w:tab/>
        <w:tab/>
        <w:tab/>
        <w:tab/>
        <w:t xml:space="preserve">     Д.В. Малютин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58"/>
        <w:ind w:firstLine="0"/>
        <w:spacing w:line="240" w:lineRule="auto"/>
        <w:rPr>
          <w:szCs w:val="28"/>
        </w:rPr>
      </w:pPr>
      <w:r>
        <w:rPr>
          <w:szCs w:val="28"/>
        </w:rPr>
        <w:t xml:space="preserve">Глав</w:t>
      </w:r>
      <w:r>
        <w:rPr>
          <w:szCs w:val="28"/>
        </w:rPr>
        <w:t xml:space="preserve">а города Перми</w:t>
        <w:tab/>
        <w:tab/>
        <w:tab/>
        <w:tab/>
        <w:tab/>
        <w:tab/>
        <w:tab/>
        <w:tab/>
        <w:t xml:space="preserve">         Э.О. Соснин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418" w:header="215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0"/>
      </w:rPr>
    </w:r>
    <w:r>
      <w:rPr>
        <w:sz w:val="20"/>
      </w:rPr>
    </w:r>
  </w:p>
  <w:p>
    <w:pPr>
      <w:pStyle w:val="862"/>
    </w:pPr>
    <w:r/>
    <w:r/>
  </w:p>
  <w:p>
    <w:pPr>
      <w:pStyle w:val="8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47" w:hanging="780"/>
      </w:pPr>
      <w:rPr>
        <w:rFonts w:ascii="Arial" w:hAnsi="Arial" w:cs="Arial"/>
        <w:b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ind w:firstLine="720"/>
      <w:jc w:val="both"/>
      <w:spacing w:line="360" w:lineRule="exact"/>
    </w:pPr>
    <w:rPr>
      <w:sz w:val="28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semiHidden/>
  </w:style>
  <w:style w:type="table" w:styleId="860">
    <w:name w:val="Обычная таблица"/>
    <w:next w:val="860"/>
    <w:link w:val="858"/>
    <w:semiHidden/>
    <w:tblPr/>
  </w:style>
  <w:style w:type="numbering" w:styleId="861">
    <w:name w:val="Нет списка"/>
    <w:next w:val="861"/>
    <w:link w:val="858"/>
    <w:semiHidden/>
  </w:style>
  <w:style w:type="paragraph" w:styleId="862">
    <w:name w:val="Верхний колонтитул"/>
    <w:next w:val="862"/>
    <w:link w:val="863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  <w:lang w:val="ru-RU" w:eastAsia="ru-RU" w:bidi="ar-SA"/>
    </w:rPr>
  </w:style>
  <w:style w:type="character" w:styleId="863">
    <w:name w:val="Верхний колонтитул Знак"/>
    <w:next w:val="863"/>
    <w:link w:val="862"/>
    <w:uiPriority w:val="99"/>
    <w:rPr>
      <w:sz w:val="16"/>
      <w:lang w:bidi="ar-SA"/>
    </w:rPr>
  </w:style>
  <w:style w:type="paragraph" w:styleId="864">
    <w:name w:val="Нижний колонтитул"/>
    <w:next w:val="864"/>
    <w:link w:val="865"/>
    <w:pPr>
      <w:tabs>
        <w:tab w:val="center" w:pos="4677" w:leader="none"/>
        <w:tab w:val="right" w:pos="9355" w:leader="none"/>
      </w:tabs>
    </w:pPr>
    <w:rPr>
      <w:sz w:val="16"/>
      <w:szCs w:val="24"/>
      <w:lang w:val="ru-RU" w:eastAsia="ru-RU" w:bidi="ar-SA"/>
    </w:rPr>
  </w:style>
  <w:style w:type="character" w:styleId="865">
    <w:name w:val="Нижний колонтитул Знак"/>
    <w:next w:val="865"/>
    <w:link w:val="864"/>
    <w:rPr>
      <w:sz w:val="16"/>
      <w:szCs w:val="24"/>
      <w:lang w:bidi="ar-SA"/>
    </w:rPr>
  </w:style>
  <w:style w:type="paragraph" w:styleId="866">
    <w:name w:val="Форма"/>
    <w:next w:val="866"/>
    <w:link w:val="858"/>
    <w:rPr>
      <w:sz w:val="28"/>
      <w:szCs w:val="28"/>
      <w:lang w:val="ru-RU" w:eastAsia="ru-RU" w:bidi="ar-SA"/>
    </w:rPr>
  </w:style>
  <w:style w:type="paragraph" w:styleId="867">
    <w:name w:val="Регистр"/>
    <w:next w:val="867"/>
    <w:link w:val="858"/>
    <w:rPr>
      <w:sz w:val="28"/>
      <w:lang w:val="ru-RU" w:eastAsia="ru-RU" w:bidi="ar-SA"/>
    </w:rPr>
  </w:style>
  <w:style w:type="paragraph" w:styleId="868">
    <w:name w:val="Исполнитель"/>
    <w:basedOn w:val="869"/>
    <w:next w:val="868"/>
    <w:link w:val="858"/>
    <w:pPr>
      <w:ind w:firstLine="0"/>
      <w:jc w:val="left"/>
      <w:spacing w:line="240" w:lineRule="exact"/>
    </w:pPr>
    <w:rPr>
      <w:sz w:val="24"/>
      <w:szCs w:val="20"/>
    </w:rPr>
  </w:style>
  <w:style w:type="paragraph" w:styleId="869">
    <w:name w:val="Основной текст"/>
    <w:basedOn w:val="858"/>
    <w:next w:val="869"/>
    <w:link w:val="870"/>
    <w:rPr>
      <w:lang w:val="en-US" w:eastAsia="en-US"/>
    </w:rPr>
  </w:style>
  <w:style w:type="character" w:styleId="870">
    <w:name w:val="Основной текст Знак"/>
    <w:next w:val="870"/>
    <w:link w:val="869"/>
    <w:rPr>
      <w:sz w:val="28"/>
      <w:szCs w:val="24"/>
    </w:rPr>
  </w:style>
  <w:style w:type="paragraph" w:styleId="871">
    <w:name w:val="Заголовок к тексту"/>
    <w:basedOn w:val="858"/>
    <w:next w:val="869"/>
    <w:link w:val="858"/>
    <w:pPr>
      <w:ind w:firstLine="0"/>
      <w:jc w:val="left"/>
      <w:spacing w:after="480" w:line="240" w:lineRule="exact"/>
    </w:pPr>
    <w:rPr>
      <w:b/>
      <w:szCs w:val="20"/>
    </w:rPr>
  </w:style>
  <w:style w:type="paragraph" w:styleId="872">
    <w:name w:val="ConsPlusNormal"/>
    <w:next w:val="872"/>
    <w:link w:val="858"/>
    <w:rPr>
      <w:sz w:val="28"/>
      <w:szCs w:val="28"/>
      <w:lang w:val="ru-RU" w:eastAsia="ru-RU" w:bidi="ar-SA"/>
    </w:rPr>
  </w:style>
  <w:style w:type="paragraph" w:styleId="873">
    <w:name w:val="Текст выноски"/>
    <w:basedOn w:val="858"/>
    <w:next w:val="873"/>
    <w:link w:val="874"/>
    <w:pPr>
      <w:spacing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4">
    <w:name w:val="Текст выноски Знак"/>
    <w:next w:val="874"/>
    <w:link w:val="873"/>
    <w:rPr>
      <w:rFonts w:ascii="Tahoma" w:hAnsi="Tahoma" w:cs="Tahoma"/>
      <w:sz w:val="16"/>
      <w:szCs w:val="16"/>
    </w:rPr>
  </w:style>
  <w:style w:type="paragraph" w:styleId="875">
    <w:name w:val="ConsPlusTitle"/>
    <w:next w:val="875"/>
    <w:link w:val="858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76">
    <w:name w:val="Номер страницы"/>
    <w:basedOn w:val="859"/>
    <w:next w:val="876"/>
    <w:link w:val="858"/>
  </w:style>
  <w:style w:type="paragraph" w:styleId="877">
    <w:name w:val="Название объекта1"/>
    <w:basedOn w:val="858"/>
    <w:next w:val="858"/>
    <w:link w:val="858"/>
    <w:uiPriority w:val="35"/>
    <w:semiHidden/>
    <w:unhideWhenUsed/>
    <w:qFormat/>
    <w:pPr>
      <w:ind w:firstLine="0"/>
      <w:jc w:val="left"/>
      <w:spacing w:after="200" w:line="240" w:lineRule="auto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CROC Inc.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krasnykh-ayu</cp:lastModifiedBy>
  <cp:revision>111</cp:revision>
  <dcterms:created xsi:type="dcterms:W3CDTF">2009-12-07T07:27:00Z</dcterms:created>
  <dcterms:modified xsi:type="dcterms:W3CDTF">2025-08-29T09:46:45Z</dcterms:modified>
  <cp:version>1048576</cp:version>
</cp:coreProperties>
</file>