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66"/>
        <w:jc w:val="both"/>
        <w:rPr>
          <w:sz w:val="24"/>
          <w:szCs w:val="24"/>
          <w:highlight w:val="none"/>
        </w:rPr>
      </w:pPr>
      <w:r>
        <w:rPr>
          <w:sz w:val="24"/>
        </w:rPr>
      </w:r>
      <w:r>
        <w:rPr>
          <w:sz w:val="24"/>
        </w:rPr>
        <w:t xml:space="preserve">22.09.2025                                              059-16-01-03-145</w:t>
      </w:r>
      <w:r>
        <w:rPr>
          <w:sz w:val="24"/>
          <w:szCs w:val="24"/>
          <w:highlight w:val="none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установленного нестационарного торгового объекта – лоток по адресу: г. Пермь, ул. Мира, 109, номер в Едином реестре 5065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22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От 22.09.2025 № 059-16-01-03-145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22.09.202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2024-05-27T07:59:00Z</dcterms:created>
  <dcterms:modified xsi:type="dcterms:W3CDTF">2025-09-22T09:49:59Z</dcterms:modified>
  <cp:version>1048576</cp:version>
</cp:coreProperties>
</file>