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9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-124365</wp:posOffset>
                </wp:positionV>
                <wp:extent cx="6285865" cy="1238791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238790"/>
                          <a:chOff x="0" y="0"/>
                          <a:chExt cx="6285864" cy="1238790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235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8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927005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17.09.2025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747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930180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636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9.79pt;mso-position-vertical:absolute;width:494.95pt;height:97.54pt;mso-wrap-distance-left:9.00pt;mso-wrap-distance-top:0.00pt;mso-wrap-distance-right:9.00pt;mso-wrap-distance-bottom:0.00pt;" coordorigin="0,0" coordsize="62858,12387">
                <v:shape id="shape 2" o:spid="_x0000_s2" o:spt="202" type="#_x0000_t202" style="position:absolute;left:0;top:0;width:62858;height:12356;visibility:visible;" fillcolor="#FFFFFF" stroked="f">
                  <v:textbox inset="0,0,0,0">
                    <w:txbxContent>
                      <w:p>
                        <w:pPr>
                          <w:pStyle w:val="78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9270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17.09.2025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747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9301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636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5387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определения объема и условий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субсидий на иные цели бюджетным и автономным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учреждениям на приобретение средств обучения и воспитания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для муниципальных образовательных учреждений, открывающихся после капитального ремонта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абзацем вторым пункта 1 статьи 78.1 Бюджетного кодекса Российской Федерации, постановлением Правительства Российской Федерации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от 22 февраля 2020 г</w:t>
      </w:r>
      <w:r>
        <w:rPr>
          <w:sz w:val="28"/>
          <w:szCs w:val="28"/>
        </w:rPr>
        <w:t xml:space="preserve">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решением Пермской городской </w:t>
      </w:r>
      <w:r>
        <w:rPr>
          <w:sz w:val="28"/>
        </w:rPr>
        <w:t xml:space="preserve">Думы </w:t>
      </w:r>
      <w:r>
        <w:rPr>
          <w:sz w:val="28"/>
        </w:rPr>
        <w:br/>
        <w:t xml:space="preserve">от 2</w:t>
      </w:r>
      <w:r>
        <w:rPr>
          <w:sz w:val="28"/>
        </w:rPr>
        <w:t xml:space="preserve">4 апреля 2018 г. № 56 «Об установлении расходного обязательства города Перми в сфере образования»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Порядок определения объема и условий предоставления субсидий на иные цели бюджетным и автоно</w:t>
      </w:r>
      <w:r>
        <w:rPr>
          <w:sz w:val="28"/>
          <w:szCs w:val="28"/>
        </w:rPr>
        <w:t xml:space="preserve">мным учреждениям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приобретение средств обучения и воспитания для муниципальных образовательных учреждений, открывающихся после капитального ремонта.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 xml:space="preserve">Настоящее постановление вступает в силу со дня официального </w:t>
      </w:r>
      <w:r>
        <w:rPr>
          <w:sz w:val="28"/>
        </w:rPr>
        <w:t xml:space="preserve">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</w:rPr>
        <w:t xml:space="preserve">Управлению по общим вопросам администрации города Перми обеспечить обнародование настоящего постановлен</w:t>
      </w:r>
      <w:r>
        <w:rPr>
          <w:sz w:val="28"/>
        </w:rPr>
        <w:t xml:space="preserve">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</w:rPr>
        <w:t xml:space="preserve">Информационно-аналитическому управлению администрации города Перми обеспечи</w:t>
      </w:r>
      <w:r>
        <w:rPr>
          <w:sz w:val="28"/>
        </w:rPr>
        <w:t xml:space="preserve">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br w:type="page" w:clear="all"/>
      </w:r>
      <w:r>
        <w:rPr>
          <w:bCs/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bCs/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на заместителя гл</w:t>
      </w:r>
      <w:r>
        <w:rPr>
          <w:bCs/>
          <w:sz w:val="28"/>
          <w:szCs w:val="28"/>
        </w:rPr>
        <w:t xml:space="preserve">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29"/>
        <w:ind w:right="0"/>
        <w:jc w:val="both"/>
        <w:tabs>
          <w:tab w:val="left" w:pos="8080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29"/>
        <w:ind w:right="0"/>
        <w:jc w:val="both"/>
        <w:spacing w:line="240" w:lineRule="exact"/>
        <w:tabs>
          <w:tab w:val="left" w:pos="8080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</w:t>
      </w:r>
      <w:r>
        <w:rPr>
          <w:rFonts w:ascii="Times New Roman" w:hAnsi="Times New Roman"/>
          <w:sz w:val="28"/>
          <w:szCs w:val="28"/>
          <w:lang w:val="ru-RU"/>
        </w:rPr>
        <w:t xml:space="preserve">а</w:t>
      </w:r>
      <w:r>
        <w:rPr>
          <w:rFonts w:ascii="Times New Roman" w:hAnsi="Times New Roman"/>
          <w:sz w:val="28"/>
          <w:szCs w:val="28"/>
          <w:lang w:val="ru-RU"/>
        </w:rPr>
        <w:t xml:space="preserve"> города Перми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Э.О. Соснин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29"/>
        <w:ind w:right="0"/>
        <w:jc w:val="both"/>
        <w:spacing w:line="240" w:lineRule="exact"/>
        <w:tabs>
          <w:tab w:val="left" w:pos="8080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jc w:val="both"/>
        <w:rPr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erReference w:type="default" r:id="rId13"/>
          <w:footnotePr/>
          <w:endnotePr/>
          <w:type w:val="nextPage"/>
          <w:pgSz w:w="11900" w:h="16820" w:orient="portrait"/>
          <w:pgMar w:top="1134" w:right="567" w:bottom="1134" w:left="1418" w:header="363" w:footer="720" w:gutter="0"/>
          <w:cols w:num="1" w:sep="0" w:space="6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УТВЕРЖДЕН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5670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постановлением администрации города Перми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5670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 xml:space="preserve">17.09.2025 № 636</w:t>
      </w:r>
      <w:r>
        <w:rPr>
          <w:rFonts w:eastAsia="Calibri"/>
          <w:sz w:val="28"/>
          <w:szCs w:val="28"/>
          <w:lang w:eastAsia="en-US"/>
        </w:rPr>
      </w:r>
    </w:p>
    <w:p>
      <w:pPr>
        <w:pStyle w:val="939"/>
        <w:ind w:firstLine="709"/>
        <w:jc w:val="center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9"/>
        <w:ind w:firstLine="709"/>
        <w:jc w:val="center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9"/>
        <w:ind w:firstLine="709"/>
        <w:jc w:val="center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9"/>
        <w:ind w:firstLine="709"/>
        <w:jc w:val="center"/>
        <w:spacing w:line="240" w:lineRule="exac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</w:r>
      <w:r>
        <w:rPr>
          <w:rFonts w:ascii="Times New Roman" w:hAnsi="Times New Roman" w:cs="Times New Roman"/>
          <w:b w:val="0"/>
          <w:sz w:val="28"/>
        </w:rPr>
      </w:r>
      <w:r>
        <w:rPr>
          <w:rFonts w:ascii="Times New Roman" w:hAnsi="Times New Roman" w:cs="Times New Roman"/>
          <w:b w:val="0"/>
          <w:sz w:val="28"/>
        </w:rPr>
      </w:r>
    </w:p>
    <w:p>
      <w:pPr>
        <w:pStyle w:val="939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9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определения объема и условий предоставления субсидий на иные цели бюджетным и автономным учреждениям на приобретение средств обучения и </w:t>
      </w:r>
      <w:r>
        <w:rPr>
          <w:rFonts w:ascii="Times New Roman" w:hAnsi="Times New Roman" w:cs="Times New Roman"/>
          <w:sz w:val="28"/>
          <w:szCs w:val="28"/>
        </w:rPr>
        <w:t xml:space="preserve">воспитания для муниципальных образовательных учреждений, открывающихся после капитального ремонта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9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9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9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I. Общие положения о предоставлении субсидий на иные цели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9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Настоящий Порядок определяет объем и условия предоставления субсидий на иные цели на приобре</w:t>
      </w:r>
      <w:r>
        <w:rPr>
          <w:sz w:val="28"/>
          <w:szCs w:val="28"/>
        </w:rPr>
        <w:t xml:space="preserve">тение средств обучения и воспитания для муниципальных образовательных учреждений, открывающихся после капитального ремонта, муниципальным бюджетным и автономным учреждениям, в отношении которых департамент образования администрации города Перми осуществляе</w:t>
      </w:r>
      <w:r>
        <w:rPr>
          <w:sz w:val="28"/>
          <w:szCs w:val="28"/>
        </w:rPr>
        <w:t xml:space="preserve">т функции и полномочия учредителя (далее – Порядок, субсидии на иные цели, Учреждения, Департамент).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Целью предоставления субсидий на иные цели является создание комфортных и безопасных условий для обучающихся образовательных учреждений путем обновлен</w:t>
      </w:r>
      <w:r>
        <w:rPr>
          <w:sz w:val="28"/>
          <w:szCs w:val="28"/>
        </w:rPr>
        <w:t xml:space="preserve">ия материально-технической базы зданий образовательных организаций, отрывающихся после капитального ремонта, </w:t>
      </w:r>
      <w:r>
        <w:rPr>
          <w:sz w:val="28"/>
          <w:szCs w:val="28"/>
        </w:rPr>
        <w:br/>
        <w:t xml:space="preserve">в рамках выполнения мероприятий муниципальной программы «Доступное </w:t>
      </w:r>
      <w:r>
        <w:rPr>
          <w:sz w:val="28"/>
          <w:szCs w:val="28"/>
        </w:rPr>
        <w:br/>
        <w:t xml:space="preserve">и качественное образование».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Субсидии на иные цели направляются на оснаще</w:t>
      </w:r>
      <w:r>
        <w:rPr>
          <w:sz w:val="28"/>
          <w:szCs w:val="28"/>
        </w:rPr>
        <w:t xml:space="preserve">ние средствами обучения и воспитания зданий образовательных организаций, открывающихся после капитального ремонта.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Субсидии на иные цели предоставляются Учреждениям в пределах бюджетных ассигнований и лимитов бюджетных обязательств на текущий финансов</w:t>
      </w:r>
      <w:r>
        <w:rPr>
          <w:sz w:val="28"/>
          <w:szCs w:val="28"/>
        </w:rPr>
        <w:t xml:space="preserve">ый год на основании сводной бюджетной росписи бюджета города Перми в рамках реализации мероприятий муниципальной программы «Доступное и качественное образование».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9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II. Условия и порядок предоставления субсидий на иные цели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" w:name="P60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2.1. Для получения субсидий на и</w:t>
      </w:r>
      <w:r>
        <w:rPr>
          <w:rFonts w:ascii="Times New Roman" w:hAnsi="Times New Roman" w:cs="Times New Roman"/>
          <w:sz w:val="28"/>
          <w:szCs w:val="28"/>
        </w:rPr>
        <w:t xml:space="preserve">ные цели Учреждения </w:t>
      </w:r>
      <w:r>
        <w:rPr>
          <w:rFonts w:ascii="Times New Roman" w:hAnsi="Times New Roman" w:cs="Times New Roman"/>
          <w:sz w:val="28"/>
        </w:rPr>
        <w:t xml:space="preserve">представляют 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sz w:val="28"/>
        </w:rPr>
        <w:t xml:space="preserve">на бумажном носителе в Департамент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пояснительную записку, содержащую обоснование необходимости предоставления субсидий на иные цели, включая расчет-обоснование суммы субсидий на иные цели согласно приложению к настоящему </w:t>
      </w:r>
      <w:r>
        <w:rPr>
          <w:rFonts w:ascii="Times New Roman" w:hAnsi="Times New Roman" w:cs="Times New Roman"/>
          <w:sz w:val="28"/>
          <w:szCs w:val="28"/>
        </w:rPr>
        <w:t xml:space="preserve">Порядку;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 планируемом к приобретению имуществе с обоснованием цены планируемого к приобретению имущества на основании прайс-листов, коммерческих предложений с приложением не менее трех источников ценовой </w:t>
      </w:r>
      <w:r>
        <w:rPr>
          <w:rFonts w:ascii="Times New Roman" w:hAnsi="Times New Roman" w:cs="Times New Roman"/>
          <w:sz w:val="28"/>
          <w:szCs w:val="28"/>
        </w:rPr>
        <w:t xml:space="preserve">информации;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подтверждающие от</w:t>
      </w:r>
      <w:r>
        <w:rPr>
          <w:rFonts w:ascii="Times New Roman" w:hAnsi="Times New Roman" w:cs="Times New Roman"/>
          <w:sz w:val="28"/>
          <w:szCs w:val="28"/>
        </w:rPr>
        <w:t xml:space="preserve">сутствие у Учреждений задолженности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 xml:space="preserve">по уплате налогов, сборов и иных обязательных платежей в бюджеты бюджетной системы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2.2. На дату, предшествующую дате представления документов, указанных в пункте 2.1 настоящего Порядка, не более че</w:t>
      </w:r>
      <w:r>
        <w:rPr>
          <w:rFonts w:ascii="Times New Roman" w:hAnsi="Times New Roman" w:cs="Times New Roman"/>
          <w:sz w:val="28"/>
        </w:rPr>
        <w:t xml:space="preserve">м на 1 месяц, Учреждения должны соответствовать следующим требованиям: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4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отсутствие неисполненной обязанности по уплате налогов, сборов, страховых взносов, пеней, штрафов, процентов, подлежащих уплате </w:t>
      </w:r>
      <w:r>
        <w:rPr>
          <w:rFonts w:ascii="Times New Roman" w:hAnsi="Times New Roman" w:cs="Times New Roman"/>
          <w:sz w:val="28"/>
        </w:rPr>
        <w:br/>
        <w:t xml:space="preserve">в соответствии с законодательством Российской Федерации </w:t>
      </w:r>
      <w:r>
        <w:rPr>
          <w:rFonts w:ascii="Times New Roman" w:hAnsi="Times New Roman" w:cs="Times New Roman"/>
          <w:sz w:val="28"/>
        </w:rPr>
        <w:t xml:space="preserve">о налогах и сборах;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4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отсутствие просроченной задолженности по возврату в бюджет города Перми субсидий, бюджетных инвестиций, предоставленных в том числе </w:t>
      </w:r>
      <w:r>
        <w:rPr>
          <w:rFonts w:ascii="Times New Roman" w:hAnsi="Times New Roman" w:cs="Times New Roman"/>
          <w:sz w:val="28"/>
        </w:rPr>
        <w:br/>
        <w:t xml:space="preserve">в соответствии с иными правовыми актами, и иной просроченной задолженности перед бюджетом города Перми.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4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2.3. Для рассмотрения и оценки документов, представляемых Учреждениями Департаменту для получения субсидии на иные цели, создается комиссия, состоящая из числа муниципальных служащих Департамента </w:t>
      </w:r>
      <w:r>
        <w:rPr>
          <w:rFonts w:ascii="Times New Roman" w:hAnsi="Times New Roman" w:cs="Times New Roman"/>
          <w:sz w:val="28"/>
        </w:rPr>
        <w:br/>
        <w:t xml:space="preserve">и директора муниципального казенного учреждения «Центр бух</w:t>
      </w:r>
      <w:r>
        <w:rPr>
          <w:rFonts w:ascii="Times New Roman" w:hAnsi="Times New Roman" w:cs="Times New Roman"/>
          <w:sz w:val="28"/>
        </w:rPr>
        <w:t xml:space="preserve">галтерского учета и отчетности в сфере образования» города Перми (далее – Комиссия). Положение о комиссии и ее состав утверждаются приказом начальника Департамента.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4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Рассмотрение и оценка документов на полноту их представления </w:t>
      </w:r>
      <w:r>
        <w:rPr>
          <w:rFonts w:ascii="Times New Roman" w:hAnsi="Times New Roman" w:cs="Times New Roman"/>
          <w:sz w:val="28"/>
        </w:rPr>
        <w:br/>
        <w:t xml:space="preserve">в соответствии с пунктом 2.1</w:t>
      </w:r>
      <w:r>
        <w:rPr>
          <w:rFonts w:ascii="Times New Roman" w:hAnsi="Times New Roman" w:cs="Times New Roman"/>
          <w:sz w:val="28"/>
        </w:rPr>
        <w:t xml:space="preserve"> настоящего Порядка осуществляются Комиссией </w:t>
      </w:r>
      <w:r>
        <w:rPr>
          <w:rFonts w:ascii="Times New Roman" w:hAnsi="Times New Roman" w:cs="Times New Roman"/>
          <w:sz w:val="28"/>
        </w:rPr>
        <w:br/>
        <w:t xml:space="preserve">в течение 10 рабочих дней с даты их представления.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4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Комиссия со дня рассмотрения документов, указанных в пункте 2.1 настоящего Порядка, принимает решение о предоставлении субсидий или </w:t>
      </w:r>
      <w:r>
        <w:rPr>
          <w:rFonts w:ascii="Times New Roman" w:hAnsi="Times New Roman" w:cs="Times New Roman"/>
          <w:sz w:val="28"/>
        </w:rPr>
        <w:br/>
        <w:t xml:space="preserve">об отказе в предоставлении</w:t>
      </w:r>
      <w:r>
        <w:rPr>
          <w:rFonts w:ascii="Times New Roman" w:hAnsi="Times New Roman" w:cs="Times New Roman"/>
          <w:sz w:val="28"/>
        </w:rPr>
        <w:t xml:space="preserve"> субсидий, либо необходимости представления Учреждением недостающих документов.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4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Комиссия после принятия решения о предоставлении субсидии на иные цели: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4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определяет размер субсидии на иные цели для Учреждений в соответствии 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sz w:val="28"/>
        </w:rPr>
        <w:t xml:space="preserve">с представленными документами;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4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оф</w:t>
      </w:r>
      <w:r>
        <w:rPr>
          <w:rFonts w:ascii="Times New Roman" w:hAnsi="Times New Roman" w:cs="Times New Roman"/>
          <w:sz w:val="28"/>
        </w:rPr>
        <w:t xml:space="preserve">ормляет протокол, который подписывается всеми членами Комиссии </w:t>
      </w:r>
      <w:r>
        <w:rPr>
          <w:rFonts w:ascii="Times New Roman" w:hAnsi="Times New Roman" w:cs="Times New Roman"/>
          <w:sz w:val="28"/>
        </w:rPr>
        <w:br/>
        <w:t xml:space="preserve">в день принятия решения (далее – протокол).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4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Департамент в течение 10 рабочих дней со дня доведения лимитов бюджетных обязательств на текущий финансовый год обеспечивает подготовку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и подписание приказа, устанавливающего размер субсидии на иные цели для Учреждений в соответствии с указанным протоколом (далее – Приказ </w:t>
      </w:r>
      <w:r>
        <w:rPr>
          <w:rFonts w:ascii="Times New Roman" w:hAnsi="Times New Roman" w:cs="Times New Roman"/>
          <w:sz w:val="28"/>
        </w:rPr>
        <w:br/>
        <w:t xml:space="preserve">об утверждении размера субсидии).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4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Департамент посредством направления письма с помощью системы электронного документоо</w:t>
      </w:r>
      <w:r>
        <w:rPr>
          <w:rFonts w:ascii="Times New Roman" w:hAnsi="Times New Roman" w:cs="Times New Roman"/>
          <w:sz w:val="28"/>
        </w:rPr>
        <w:t xml:space="preserve">борота уведомляет Учреждение о принятом решении 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sz w:val="28"/>
        </w:rPr>
        <w:t xml:space="preserve">о предоставлении субсидии на иные цели и размере субсидии в течение </w:t>
      </w:r>
      <w:r>
        <w:rPr>
          <w:rFonts w:ascii="Times New Roman" w:hAnsi="Times New Roman" w:cs="Times New Roman"/>
          <w:sz w:val="28"/>
        </w:rPr>
        <w:br/>
        <w:t xml:space="preserve">10 рабочих дней со дня вступления в силу Приказа об утверждении размера субсидии.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4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2.4. Основания для отказа Учреждениям в предоставлении с</w:t>
      </w:r>
      <w:r>
        <w:rPr>
          <w:rFonts w:ascii="Times New Roman" w:hAnsi="Times New Roman" w:cs="Times New Roman"/>
          <w:sz w:val="28"/>
        </w:rPr>
        <w:t xml:space="preserve">убсидий 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sz w:val="28"/>
        </w:rPr>
        <w:t xml:space="preserve">на иные цели: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4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несоответствие представленных Учреждениями документов требованиям, </w:t>
      </w:r>
      <w:r>
        <w:rPr>
          <w:rFonts w:ascii="Times New Roman" w:hAnsi="Times New Roman" w:cs="Times New Roman"/>
          <w:sz w:val="28"/>
        </w:rPr>
        <w:t xml:space="preserve">определенным в соответствии с </w:t>
      </w:r>
      <w:hyperlink w:tooltip="#P62" w:anchor="P62" w:history="1">
        <w:r>
          <w:rPr>
            <w:rFonts w:ascii="Times New Roman" w:hAnsi="Times New Roman" w:cs="Times New Roman"/>
            <w:sz w:val="28"/>
          </w:rPr>
          <w:t xml:space="preserve">пунктом 2.1</w:t>
        </w:r>
      </w:hyperlink>
      <w:r>
        <w:rPr>
          <w:rFonts w:ascii="Times New Roman" w:hAnsi="Times New Roman" w:cs="Times New Roman"/>
          <w:sz w:val="28"/>
        </w:rPr>
        <w:t xml:space="preserve"> настоящего Порядка, или непредставление (представление не в полном объеме) указанных документов;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4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</w:t>
      </w:r>
      <w:r>
        <w:rPr>
          <w:rFonts w:ascii="Times New Roman" w:hAnsi="Times New Roman" w:cs="Times New Roman"/>
          <w:sz w:val="28"/>
        </w:rPr>
        <w:t xml:space="preserve">едостоверность информации, содержащейся в документах, представленных Учреждениями в соответствии с </w:t>
      </w:r>
      <w:hyperlink w:tooltip="#P62" w:anchor="P62" w:history="1">
        <w:r>
          <w:rPr>
            <w:rFonts w:ascii="Times New Roman" w:hAnsi="Times New Roman" w:cs="Times New Roman"/>
            <w:sz w:val="28"/>
          </w:rPr>
          <w:t xml:space="preserve">пунктом 2.1</w:t>
        </w:r>
      </w:hyperlink>
      <w:r>
        <w:rPr>
          <w:rFonts w:ascii="Times New Roman" w:hAnsi="Times New Roman" w:cs="Times New Roman"/>
          <w:sz w:val="28"/>
        </w:rPr>
        <w:t xml:space="preserve"> настоящего Порядка.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Размер субсидий на иные цели определяется на основании перечня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 xml:space="preserve">и стоимости планируемого к при</w:t>
      </w:r>
      <w:r>
        <w:rPr>
          <w:rFonts w:ascii="Times New Roman" w:hAnsi="Times New Roman" w:cs="Times New Roman"/>
          <w:sz w:val="28"/>
          <w:szCs w:val="28"/>
        </w:rPr>
        <w:t xml:space="preserve">обретению имущества на основании прайс-листов, коммерческих предложений с приложением не менее трех источников ценовой информации.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необходимости изменения утвержденных объемов субсидий на иные цели в течение текущего года Учреждения представляют докуме</w:t>
      </w:r>
      <w:r>
        <w:rPr>
          <w:rFonts w:ascii="Times New Roman" w:hAnsi="Times New Roman" w:cs="Times New Roman"/>
          <w:sz w:val="28"/>
          <w:szCs w:val="28"/>
        </w:rPr>
        <w:t xml:space="preserve">нты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 пунктом 2.1 настоящего Порядка.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2.6. Субсидии на иные цели предоставляются в соответствии с соглашением о предоставлении субсидии из бюджета города Перми (далее – Соглашение), заключенным между Департаментом и Учреждением по типовой ф</w:t>
      </w:r>
      <w:r>
        <w:rPr>
          <w:rFonts w:ascii="Times New Roman" w:hAnsi="Times New Roman" w:cs="Times New Roman"/>
          <w:sz w:val="28"/>
        </w:rPr>
        <w:t xml:space="preserve">орме, утвержденной распоряжением начальника департамента финансов администрации города Перми (далее – типовая форма), не позднее 10 рабочих дней со дня вступления в силу </w:t>
      </w:r>
      <w:r>
        <w:rPr>
          <w:rFonts w:ascii="Times New Roman" w:hAnsi="Times New Roman" w:cs="Times New Roman"/>
          <w:sz w:val="28"/>
        </w:rPr>
        <w:t xml:space="preserve">решения Пермской городской Думы о бюджете города Перми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на очередной финансовый год и плановый период, </w:t>
      </w:r>
      <w:r>
        <w:rPr>
          <w:rFonts w:ascii="Times New Roman" w:hAnsi="Times New Roman" w:cs="Times New Roman"/>
          <w:sz w:val="28"/>
        </w:rPr>
        <w:t xml:space="preserve">Приказа </w:t>
      </w:r>
      <w:r>
        <w:rPr>
          <w:rFonts w:ascii="Times New Roman" w:hAnsi="Times New Roman" w:cs="Times New Roman"/>
          <w:sz w:val="28"/>
        </w:rPr>
        <w:t xml:space="preserve">об утверждении размера субсидии.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2.7. Условиями заключения Соглашения являются: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соответствие Учреждений требованиям, установленным пунктом 2.2 настоящего Порядка;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наличие бюджетных ассигнований на предоставление</w:t>
      </w:r>
      <w:r>
        <w:rPr>
          <w:sz w:val="28"/>
        </w:rPr>
        <w:t xml:space="preserve"> субсидий на иные цели в сводной бюджетной росписи, в муниципальной программе «Доступное и качественное образование».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2.8. Внесение изменений в Соглашения.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При внесении изменений в настоящий Порядок, муниципальную программу «Доступное и качественное образование», сводную бюджетную роспись, </w:t>
      </w:r>
      <w:r>
        <w:rPr>
          <w:bCs/>
          <w:sz w:val="28"/>
        </w:rPr>
        <w:t xml:space="preserve">Приказ </w:t>
      </w:r>
      <w:r>
        <w:rPr>
          <w:sz w:val="28"/>
        </w:rPr>
        <w:t xml:space="preserve">об утверждении размера субсидии, требующих внесения изменений </w:t>
      </w:r>
      <w:r>
        <w:rPr>
          <w:sz w:val="28"/>
        </w:rPr>
        <w:br/>
        <w:t xml:space="preserve">в Соглашение, дополнительные соглашения заключаются</w:t>
      </w:r>
      <w:r>
        <w:rPr>
          <w:sz w:val="28"/>
        </w:rPr>
        <w:t xml:space="preserve"> в течение 10 рабочих дней со дня вступления в силу изменений в указанные правовые акты.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Дополнительные соглашения к указанному Соглашению, предусматривающие внесение в него изменений или его расторжение, заключаются в соответствии с типовой формой.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i/>
          <w:sz w:val="28"/>
        </w:rPr>
      </w:pPr>
      <w:r>
        <w:rPr>
          <w:sz w:val="28"/>
        </w:rPr>
        <w:t xml:space="preserve">2.9. С</w:t>
      </w:r>
      <w:r>
        <w:rPr>
          <w:sz w:val="28"/>
        </w:rPr>
        <w:t xml:space="preserve">убсидии на иные цели перечисляются Учреждениям в сроки, установленные Соглашением. Периодичность перечисления субсидий на иные цели – в течение года после представления документов, подтверждающих возникновение денежных обязательств.</w:t>
      </w:r>
      <w:r>
        <w:rPr>
          <w:i/>
          <w:sz w:val="28"/>
        </w:rPr>
      </w:r>
      <w:r>
        <w:rPr>
          <w:i/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Ведение бухгалтерского </w:t>
      </w:r>
      <w:r>
        <w:rPr>
          <w:sz w:val="28"/>
        </w:rPr>
        <w:t xml:space="preserve">учета по предоставленным субсидиям на иные цели осуществляется с применением аналитических кодов счетов бухгалтерского учета. 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2.10. Субсидии на иные цели Учреждениям предоставляются путем перечисления Департаментом денежных средств на отдельные лицевые сч</w:t>
      </w:r>
      <w:r>
        <w:rPr>
          <w:sz w:val="28"/>
        </w:rPr>
        <w:t xml:space="preserve">ета Учреждений, открытые в департаменте финансов администрации города Перми </w:t>
      </w:r>
      <w:r>
        <w:rPr>
          <w:sz w:val="28"/>
        </w:rPr>
        <w:br w:type="textWrapping" w:clear="all"/>
      </w:r>
      <w:r>
        <w:rPr>
          <w:sz w:val="28"/>
        </w:rPr>
        <w:t xml:space="preserve">в установленном порядке.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2.11. Средства, предоставляемые Учреждениям в виде субсидий на иные цели, расходуются в соответствии с их целевым назначением и не могут быть направлены н</w:t>
      </w:r>
      <w:r>
        <w:rPr>
          <w:sz w:val="28"/>
        </w:rPr>
        <w:t xml:space="preserve">а другие цели.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2.12. Результатом предоставления субсидий на иные цели является количество Учреждений, для которых приобретаются средства обучения </w:t>
      </w:r>
      <w:r>
        <w:rPr>
          <w:sz w:val="28"/>
        </w:rPr>
        <w:br/>
        <w:t xml:space="preserve">и воспитания, в соответствии с муниципальной программой «Доступное </w:t>
      </w:r>
      <w:r>
        <w:rPr>
          <w:sz w:val="28"/>
        </w:rPr>
        <w:br/>
        <w:t xml:space="preserve">и качественное образование».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</w:t>
      </w:r>
      <w:r>
        <w:rPr>
          <w:sz w:val="28"/>
          <w:szCs w:val="28"/>
        </w:rPr>
        <w:t xml:space="preserve">ия результата предоставления субсидий на иные цели Соглашением устанавливается план мероприятий по достижению результата предоставления субсидий на иные цели.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9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III. Требования к отчетности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Учреждения представляют в Департамент следующую отчетность </w:t>
        <w:br/>
        <w:t xml:space="preserve">(д</w:t>
      </w:r>
      <w:r>
        <w:rPr>
          <w:sz w:val="28"/>
          <w:szCs w:val="28"/>
        </w:rPr>
        <w:t xml:space="preserve">алее – Отчеты):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ежеквартально до 10 числа месяца (за год до 15 числа месяца), следующего за отчетным, по форме, установленной типовой формой: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расходах, источником финансового обеспечения которых являются субсидии на иные цели;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</w:t>
      </w:r>
      <w:r>
        <w:rPr>
          <w:sz w:val="28"/>
          <w:szCs w:val="28"/>
        </w:rPr>
        <w:t xml:space="preserve">достижении значений результатов предоставления субсидий на иные цели;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ежеквартально до 10 числа месяца, следующего за отчетным,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не позднее 10 рабочего дня после достижения конечного значения результата предоставления субсидии по форме, установлен</w:t>
      </w:r>
      <w:r>
        <w:rPr>
          <w:sz w:val="28"/>
          <w:szCs w:val="28"/>
        </w:rPr>
        <w:t xml:space="preserve">ной приложением 3 к Порядку проведения мониторинга достижения результатов предоставления субсидий, </w:t>
      </w:r>
      <w:r>
        <w:rPr>
          <w:sz w:val="28"/>
          <w:szCs w:val="28"/>
        </w:rPr>
        <w:br/>
        <w:t xml:space="preserve">в том числе грантов в форме субсидий, юридическим лицам, в том числе бюджетным и автономным учреждениям, индивидуальным предпринимателям, физическим лицам –</w:t>
      </w:r>
      <w:r>
        <w:rPr>
          <w:sz w:val="28"/>
          <w:szCs w:val="28"/>
        </w:rPr>
        <w:t xml:space="preserve"> производителям товаров, работ, услуг, утвержденному приказом Министерства финансов Российской Федерации от 27 апреля 2024 г. </w:t>
      </w:r>
      <w:r>
        <w:rPr>
          <w:sz w:val="28"/>
          <w:szCs w:val="28"/>
        </w:rPr>
        <w:br/>
        <w:t xml:space="preserve">№ 53н: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реализации плана мероприятий по достижению результата предоставления субсидий на иные цели.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3.2. Ответственность з</w:t>
      </w:r>
      <w:r>
        <w:rPr>
          <w:sz w:val="28"/>
          <w:szCs w:val="28"/>
        </w:rPr>
        <w:t xml:space="preserve">а своевременностью представления Отчетов </w:t>
      </w:r>
      <w:r>
        <w:rPr>
          <w:sz w:val="28"/>
          <w:szCs w:val="28"/>
        </w:rPr>
        <w:br/>
        <w:t xml:space="preserve">и достоверностью отчетных данных возлагается на руководителей Учреждений.</w:t>
      </w:r>
      <w:r>
        <w:rPr>
          <w:sz w:val="28"/>
        </w:rPr>
      </w:r>
      <w:r>
        <w:rPr>
          <w:sz w:val="28"/>
        </w:rPr>
      </w:r>
    </w:p>
    <w:p>
      <w:pPr>
        <w:pStyle w:val="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9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IV. Порядок осуществления контроля за соблюдением целей,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9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условий и порядка предоставления субсидий на иные цели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9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ответственность за их нес</w:t>
      </w:r>
      <w:r>
        <w:rPr>
          <w:rFonts w:ascii="Times New Roman" w:hAnsi="Times New Roman" w:cs="Times New Roman"/>
          <w:sz w:val="28"/>
          <w:szCs w:val="28"/>
        </w:rPr>
        <w:t xml:space="preserve">облюдение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4.1. Департамент и орган муниципального финансового контроля осуществляют обязательную проверку соблюдения целей и условий предоставления Учреждениям субсидий на иные цели.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4.2. </w:t>
      </w:r>
      <w:r>
        <w:rPr>
          <w:bCs/>
          <w:sz w:val="28"/>
          <w:szCs w:val="24"/>
        </w:rPr>
        <w:t xml:space="preserve">Департамент проводит мониторинг достижения значений результатов пре</w:t>
      </w:r>
      <w:r>
        <w:rPr>
          <w:bCs/>
          <w:sz w:val="28"/>
          <w:szCs w:val="24"/>
        </w:rPr>
        <w:t xml:space="preserve">доставления субсидий на иные цели, определенных Соглашением, и событий, отражающих факт завершения соответствующего мероприятия по получению результата предоставления субсидий на иные цели (контрольная точка), в порядке </w:t>
      </w:r>
      <w:r>
        <w:rPr>
          <w:bCs/>
          <w:sz w:val="28"/>
          <w:szCs w:val="24"/>
        </w:rPr>
        <w:br w:type="textWrapping" w:clear="all"/>
      </w:r>
      <w:r>
        <w:rPr>
          <w:bCs/>
          <w:sz w:val="28"/>
          <w:szCs w:val="24"/>
        </w:rPr>
        <w:t xml:space="preserve">и по формам, которые установлены По</w:t>
      </w:r>
      <w:r>
        <w:rPr>
          <w:bCs/>
          <w:sz w:val="28"/>
          <w:szCs w:val="24"/>
        </w:rPr>
        <w:t xml:space="preserve">рядком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</w:t>
      </w:r>
      <w:r>
        <w:rPr>
          <w:bCs/>
          <w:sz w:val="28"/>
          <w:szCs w:val="24"/>
        </w:rPr>
        <w:t xml:space="preserve">в, работ, услуг, утвержденным приказом Министерства финансов Российской Федерации от 27 апреля 2024 г. № 53н.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4.3. Ответственность за нецелевое использование средств субсидий на иные цели, несоблюдение условий их предоставления, установленных настоящим Пор</w:t>
      </w:r>
      <w:r>
        <w:rPr>
          <w:sz w:val="28"/>
        </w:rPr>
        <w:t xml:space="preserve">ядком и (или) Соглашением, несут руководители Учреждений в соответствии </w:t>
      </w:r>
      <w:r>
        <w:rPr>
          <w:sz w:val="28"/>
        </w:rPr>
        <w:br w:type="textWrapping" w:clear="all"/>
      </w:r>
      <w:r>
        <w:rPr>
          <w:sz w:val="28"/>
        </w:rPr>
        <w:t xml:space="preserve">с законодательством.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/>
      <w:bookmarkStart w:id="2" w:name="P126"/>
      <w:r/>
      <w:bookmarkEnd w:id="2"/>
      <w:r>
        <w:rPr>
          <w:sz w:val="28"/>
        </w:rPr>
        <w:t xml:space="preserve">4.4. В случае несоблюдения Учреждениями целей и условий, установленных при предоставлении субсидий на иные цели, выявленного по результатам проверок, проведенных </w:t>
      </w:r>
      <w:r>
        <w:rPr>
          <w:sz w:val="28"/>
        </w:rPr>
        <w:t xml:space="preserve">Департаментом и органом муниципального финансового контроля, данные средства подлежат возврату в бюджет города Перми в следующие сроки: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на основании требования Департамента – в течение 30 календарных дней </w:t>
      </w:r>
      <w:r>
        <w:rPr>
          <w:sz w:val="28"/>
        </w:rPr>
        <w:br w:type="textWrapping" w:clear="all"/>
      </w:r>
      <w:r>
        <w:rPr>
          <w:sz w:val="28"/>
        </w:rPr>
        <w:t xml:space="preserve">со дня получения Учреждениями соответствующего тре</w:t>
      </w:r>
      <w:r>
        <w:rPr>
          <w:sz w:val="28"/>
        </w:rPr>
        <w:t xml:space="preserve">бования;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на основании представления и (или) предписания органа муниципального финансового контроля – в срок, установленный в соответствии с бюджетным законодательством Российской Федерации.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В случае невыполнения Учреждениями требований о возврате субсидий </w:t>
      </w:r>
      <w:r>
        <w:rPr>
          <w:sz w:val="28"/>
        </w:rPr>
        <w:br w:type="textWrapping" w:clear="all"/>
      </w:r>
      <w:r>
        <w:rPr>
          <w:sz w:val="28"/>
        </w:rPr>
        <w:t xml:space="preserve">на иные цели Департамент обеспечивает взыскание субсидий на иные цели </w:t>
      </w:r>
      <w:r>
        <w:rPr>
          <w:sz w:val="28"/>
        </w:rPr>
        <w:br w:type="textWrapping" w:clear="all"/>
      </w:r>
      <w:r>
        <w:rPr>
          <w:sz w:val="28"/>
        </w:rPr>
        <w:t xml:space="preserve">в судебном порядке в соответствии с действующим законодательством.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4.5. В случае недостижения результата предоставления субсидий на иные цели, установленного пунктом 2.12 настоящего По</w:t>
      </w:r>
      <w:r>
        <w:rPr>
          <w:sz w:val="28"/>
        </w:rPr>
        <w:t xml:space="preserve">рядка, субсидии на иные цели подлежат возврату в доход бюджета города Перми в течение 10 рабочих дней </w:t>
      </w:r>
      <w:r>
        <w:rPr>
          <w:sz w:val="28"/>
        </w:rPr>
        <w:br w:type="textWrapping" w:clear="all"/>
      </w:r>
      <w:r>
        <w:rPr>
          <w:sz w:val="28"/>
        </w:rPr>
        <w:t xml:space="preserve">со дня выявления указанного недостижения.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Объем средств, подлежащих возврату в доход бюджета города Перми </w:t>
      </w:r>
      <w:r>
        <w:rPr>
          <w:sz w:val="28"/>
        </w:rPr>
        <w:br w:type="textWrapping" w:clear="all"/>
      </w:r>
      <w:r>
        <w:rPr>
          <w:sz w:val="28"/>
        </w:rPr>
        <w:t xml:space="preserve">(V</w:t>
      </w:r>
      <w:r>
        <w:rPr>
          <w:sz w:val="28"/>
          <w:vertAlign w:val="subscript"/>
        </w:rPr>
        <w:t xml:space="preserve">возврата</w:t>
      </w:r>
      <w:r>
        <w:rPr>
          <w:sz w:val="28"/>
        </w:rPr>
        <w:t xml:space="preserve">), рассчитывается по формуле: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center"/>
        <w:rPr>
          <w:sz w:val="28"/>
        </w:rPr>
      </w:pPr>
      <w:r/>
      <m:oMath>
        <m:sSub>
          <m:sSubPr>
            <m:ctrlPr>
              <w:rPr>
                <w:rFonts w:ascii="Cambria Math" w:hAnsi="Cambria Math" w:eastAsia="Cambria Math" w:cs="Cambria Math"/>
                <w:sz w:val="28"/>
              </w:rPr>
            </m:ctrlPr>
          </m:sSubPr>
          <m:e>
            <m:r>
              <w:rPr>
                <w:sz w:val="28"/>
              </w:rPr>
              <m:rPr>
                <m:nor m:val="on"/>
              </m:rPr>
              <m:t>V</m:t>
            </m:r>
          </m:e>
          <m:sub>
            <m:r>
              <w:rPr>
                <w:sz w:val="28"/>
              </w:rPr>
              <m:rPr>
                <m:nor m:val="on"/>
              </m:rPr>
              <m:t>возврата</m:t>
            </m:r>
          </m:sub>
        </m:sSub>
        <m:r>
          <w:rPr>
            <w:rFonts w:ascii="Cambria Math" w:hAnsi="Cambria Math" w:eastAsia="Cambria Math" w:cs="Cambria Math"/>
            <w:sz w:val="28"/>
          </w:rPr>
          <m:rPr/>
          <m:t>=(1-</m:t>
        </m:r>
        <m:f>
          <m:fPr>
            <m:ctrlPr>
              <w:rPr>
                <w:rFonts w:ascii="Cambria Math" w:hAnsi="Cambria Math" w:eastAsia="Cambria Math" w:cs="Cambria Math"/>
                <w:i/>
                <w:sz w:val="28"/>
              </w:rPr>
            </m:ctrlPr>
          </m:fPr>
          <m:num>
            <m:sSub>
              <m:sSubPr>
                <m:ctrlPr>
                  <w:rPr>
                    <w:rFonts w:ascii="Cambria Math" w:hAnsi="Cambria Math" w:eastAsia="Cambria Math" w:cs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eastAsia="Cambria Math" w:cs="Cambria Math"/>
                    <w:sz w:val="28"/>
                  </w:rPr>
                  <m:rPr/>
                  <m:t>Х</m:t>
                </m:r>
              </m:e>
              <m:sub>
                <m:r>
                  <w:rPr>
                    <w:rFonts w:ascii="Cambria Math" w:hAnsi="Cambria Math" w:eastAsia="Cambria Math" w:cs="Cambria Math"/>
                    <w:sz w:val="28"/>
                  </w:rPr>
                  <m:rPr/>
                  <m:t>факт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eastAsia="Cambria Math" w:cs="Cambria Math"/>
                    <w:i/>
                    <w:sz w:val="28"/>
                  </w:rPr>
                </m:ctrlPr>
              </m:sSubPr>
              <m:e>
                <m:r>
                  <w:rPr>
                    <w:sz w:val="28"/>
                  </w:rPr>
                  <m:rPr>
                    <m:nor m:val="on"/>
                  </m:rPr>
                  <m:t>Х</m:t>
                </m:r>
              </m:e>
              <m:sub>
                <m:r>
                  <w:rPr>
                    <w:sz w:val="28"/>
                  </w:rPr>
                  <m:rPr>
                    <m:nor m:val="on"/>
                  </m:rPr>
                  <m:t>план</m:t>
                </m:r>
              </m:sub>
            </m:sSub>
          </m:den>
        </m:f>
        <m:r>
          <w:rPr>
            <w:rFonts w:ascii="Cambria Math" w:hAnsi="Cambria Math" w:eastAsia="Cambria Math" w:cs="Cambria Math"/>
            <w:sz w:val="28"/>
          </w:rPr>
          <m:rPr/>
          <m:t>)×</m:t>
        </m:r>
        <m:sSub>
          <m:sSubPr>
            <m:ctrlPr>
              <w:rPr>
                <w:rFonts w:ascii="Cambria Math" w:hAnsi="Cambria Math" w:eastAsia="Cambria Math" w:cs="Cambria Math"/>
                <w:sz w:val="28"/>
              </w:rPr>
            </m:ctrlPr>
          </m:sSubPr>
          <m:e>
            <m:r>
              <w:rPr>
                <w:sz w:val="28"/>
              </w:rPr>
              <m:rPr>
                <m:nor m:val="on"/>
              </m:rPr>
              <m:t>V</m:t>
            </m:r>
          </m:e>
          <m:sub>
            <m:r>
              <w:rPr>
                <w:rFonts w:ascii="Cambria Math" w:hAnsi="Cambria Math" w:eastAsia="Cambria Math" w:cs="Cambria Math"/>
                <w:sz w:val="28"/>
              </w:rPr>
              <m:rPr/>
              <m:t>субсидии</m:t>
            </m:r>
          </m:sub>
        </m:sSub>
      </m:oMath>
      <w:r>
        <w:rPr>
          <w:sz w:val="28"/>
        </w:rPr>
        <w:t xml:space="preserve">, где</w:t>
      </w:r>
      <w:r>
        <w:rPr>
          <w:sz w:val="28"/>
        </w:rPr>
      </w:r>
      <w:r>
        <w:rPr>
          <w:sz w:val="28"/>
        </w:rPr>
      </w:r>
    </w:p>
    <w:p>
      <w:pPr>
        <w:ind w:firstLine="709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V</w:t>
      </w:r>
      <w:r>
        <w:rPr>
          <w:sz w:val="28"/>
          <w:vertAlign w:val="subscript"/>
        </w:rPr>
        <w:t xml:space="preserve">субсидии</w:t>
      </w:r>
      <w:r>
        <w:rPr>
          <w:sz w:val="28"/>
        </w:rPr>
        <w:t xml:space="preserve"> – размер субсидий на иные цели, полученный Учреждением;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X</w:t>
      </w:r>
      <w:r>
        <w:rPr>
          <w:sz w:val="28"/>
          <w:vertAlign w:val="subscript"/>
        </w:rPr>
        <w:t xml:space="preserve">факт</w:t>
      </w:r>
      <w:r>
        <w:rPr>
          <w:sz w:val="28"/>
        </w:rPr>
        <w:t xml:space="preserve"> – фактически достигнутое значение результата предоставления субсидий на иные цели на отчетную дату;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X</w:t>
      </w:r>
      <w:r>
        <w:rPr>
          <w:sz w:val="28"/>
          <w:vertAlign w:val="subscript"/>
        </w:rPr>
        <w:t xml:space="preserve">план</w:t>
      </w:r>
      <w:r>
        <w:rPr>
          <w:sz w:val="28"/>
        </w:rPr>
        <w:t xml:space="preserve"> – плановый результат предоставления субсид</w:t>
      </w:r>
      <w:r>
        <w:rPr>
          <w:sz w:val="28"/>
        </w:rPr>
        <w:t xml:space="preserve">ий на иные цели.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4.6. Остатки субсидий на иные цели, предоставленных за счет средств бюджета города Перми по состоянию на 01 января очередного финансового года, не использованные в текущем финансовом году, подлежат перечислению Учреждениями в доход бюджета</w:t>
      </w:r>
      <w:r>
        <w:rPr>
          <w:sz w:val="28"/>
        </w:rPr>
        <w:t xml:space="preserve"> города Перми не позднее первых 4 рабочих дней очередного финансового года.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Остатки субсидий на иные цели, перечисленные Учреждениями в доход бюджета города Перми, возвращаются Учреждениям в очередном финансовом году при наличии потребности в направлении и</w:t>
      </w:r>
      <w:r>
        <w:rPr>
          <w:sz w:val="28"/>
        </w:rPr>
        <w:t xml:space="preserve">х на те же цели на основании </w:t>
      </w:r>
      <w:r>
        <w:rPr>
          <w:sz w:val="28"/>
        </w:rPr>
        <w:t xml:space="preserve">запросов Учреждений в соответствии с решением Департамента, оформленным приказом начальника Департамента. 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Решение о возврате остатков субсидий на иные цели принимается Департаментом по итогам рассмотрения запросов Учреждений, </w:t>
      </w:r>
      <w:r>
        <w:rPr>
          <w:sz w:val="28"/>
        </w:rPr>
        <w:t xml:space="preserve">представленных </w:t>
      </w:r>
      <w:r>
        <w:rPr>
          <w:sz w:val="28"/>
        </w:rPr>
        <w:br/>
        <w:t xml:space="preserve">в Департамент не позднее первых 15 рабочих дней текущего финансового года </w:t>
      </w:r>
      <w:r>
        <w:rPr>
          <w:sz w:val="28"/>
        </w:rPr>
        <w:br/>
        <w:t xml:space="preserve">и отражающих причины образования неиспользованных остатков </w:t>
      </w:r>
      <w:r>
        <w:rPr>
          <w:sz w:val="28"/>
        </w:rPr>
        <w:br/>
        <w:t xml:space="preserve">и необходимости их использования в текущем финансовом году, с приложением документов (копий документов), </w:t>
      </w:r>
      <w:r>
        <w:rPr>
          <w:sz w:val="28"/>
        </w:rPr>
        <w:t xml:space="preserve">подтверждающих наличие и объем неисполненных обязательств, принятых до начала текущего финансового года либо подлежащих принятию в текущем финансовом году. 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Департамент принимает решение о возврате остатков субсидий на иные цели в течение 30 рабочих дней с</w:t>
      </w:r>
      <w:r>
        <w:rPr>
          <w:sz w:val="28"/>
        </w:rPr>
        <w:t xml:space="preserve"> момента поступления указанной в абзаце третьем настоящего пункта информации, но не позднее 20 мая текущего года. 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В случае если Учреждениями не обоснована потребность в направлении остатков субсидий на иные цели, они считаются неподтвержденными </w:t>
      </w:r>
      <w:r>
        <w:rPr>
          <w:sz w:val="28"/>
        </w:rPr>
        <w:br/>
        <w:t xml:space="preserve">и не подл</w:t>
      </w:r>
      <w:r>
        <w:rPr>
          <w:sz w:val="28"/>
        </w:rPr>
        <w:t xml:space="preserve">ежат возврату Учреждениям. 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В случае если неиспользованные остатки субсидий на иные цели </w:t>
      </w:r>
      <w:r>
        <w:rPr>
          <w:sz w:val="28"/>
        </w:rPr>
        <w:br/>
        <w:t xml:space="preserve">не перечислены Учреждениями в доход бюджета города Перми в сроки, установленные абзацем первым настоящего пункта, то они подлежат взысканию </w:t>
      </w:r>
      <w:r>
        <w:rPr>
          <w:sz w:val="28"/>
        </w:rPr>
        <w:br/>
        <w:t xml:space="preserve">в установленном порядке. 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Неиспользованные остатки субсидий на иные цели, в отношении которых не принято решение о направлении их на те же цели в текущем финансовом году, источником финансового обеспечения которых являются средства бюджета Пермского края, подлежат возврату в бюдже</w:t>
      </w:r>
      <w:r>
        <w:rPr>
          <w:sz w:val="28"/>
        </w:rPr>
        <w:t xml:space="preserve">т города Перми с последующим возвратом в установленном порядке в бюджет Пермского края не позднее первых 15 рабочих дней текущего финансового года. 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В случае если неиспользованные остатки субсидий на иные цели, предоставленных за счет средств бюджета Пермс</w:t>
      </w:r>
      <w:r>
        <w:rPr>
          <w:sz w:val="28"/>
        </w:rPr>
        <w:t xml:space="preserve">кого края, не перечислены Учреждениями в бюджет города Перми, то они подлежат взысканию </w:t>
      </w:r>
      <w:r>
        <w:rPr>
          <w:sz w:val="28"/>
        </w:rPr>
        <w:br/>
        <w:t xml:space="preserve">в установленном порядке. 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4.7. В случае поступления средств от возврата ранее произведенных Учреждениями выплат, источником финансового обеспечения которых являются су</w:t>
      </w:r>
      <w:r>
        <w:rPr>
          <w:sz w:val="28"/>
        </w:rPr>
        <w:t xml:space="preserve">бсидии на иные цели, для достижения целей, установленных </w:t>
      </w:r>
      <w:r>
        <w:rPr>
          <w:sz w:val="28"/>
        </w:rPr>
        <w:br/>
        <w:t xml:space="preserve">при предоставлении субсидий на иные цели, Департамент в течение 30 рабочих дней с момента их поступления в Учреждения принимает решение путем издания приказа об использовании в текущем финансовом го</w:t>
      </w:r>
      <w:r>
        <w:rPr>
          <w:sz w:val="28"/>
        </w:rPr>
        <w:t xml:space="preserve">ду указанных средств. 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Решение Департамента об использовании в текущем финансовом году указанных средств принимается при наличии потребности Учреждений по итогам рассмотрения запросов, представленных Учреждениями в Департамент </w:t>
      </w:r>
      <w:r>
        <w:rPr>
          <w:sz w:val="28"/>
        </w:rPr>
        <w:br/>
        <w:t xml:space="preserve">не позднее 5 рабочих дней с </w:t>
      </w:r>
      <w:r>
        <w:rPr>
          <w:sz w:val="28"/>
        </w:rPr>
        <w:t xml:space="preserve">момента поступления средств в Учреждения </w:t>
      </w:r>
      <w:r>
        <w:rPr>
          <w:sz w:val="28"/>
        </w:rPr>
        <w:br/>
        <w:t xml:space="preserve">и отражающих необходимость их использования в текущем финансовом году, </w:t>
      </w:r>
      <w:r>
        <w:rPr>
          <w:sz w:val="28"/>
        </w:rPr>
        <w:br/>
        <w:t xml:space="preserve">с приложением документов (копий документов), подтверждающих наличие </w:t>
      </w:r>
      <w:r>
        <w:rPr>
          <w:sz w:val="28"/>
        </w:rPr>
        <w:br/>
        <w:t xml:space="preserve">и объем неисполненных обязательств, принятых до начала текущего финансово</w:t>
      </w:r>
      <w:r>
        <w:rPr>
          <w:sz w:val="28"/>
        </w:rPr>
        <w:t xml:space="preserve">го года либо подлежащих принятию в текущем финансовом году. </w:t>
      </w:r>
      <w:r>
        <w:rPr>
          <w:sz w:val="28"/>
        </w:rPr>
      </w:r>
      <w:r>
        <w:rPr>
          <w:sz w:val="28"/>
        </w:rPr>
      </w:r>
    </w:p>
    <w:p>
      <w:pPr>
        <w:pStyle w:val="940"/>
        <w:ind w:left="5528"/>
        <w:spacing w:line="240" w:lineRule="exact"/>
        <w:rPr>
          <w:rFonts w:ascii="Times New Roman" w:hAnsi="Times New Roman" w:cs="Times New Roman"/>
          <w:sz w:val="28"/>
          <w:szCs w:val="28"/>
        </w:rPr>
        <w:sectPr>
          <w:headerReference w:type="default" r:id="rId12"/>
          <w:footnotePr/>
          <w:endnotePr/>
          <w:type w:val="nextPage"/>
          <w:pgSz w:w="11906" w:h="16838" w:orient="portrait"/>
          <w:pgMar w:top="1134" w:right="567" w:bottom="1134" w:left="1418" w:header="454" w:footer="708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spacing w:line="240" w:lineRule="exact"/>
        <w:tabs>
          <w:tab w:val="left" w:pos="10206" w:leader="none"/>
        </w:tabs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Порядку определения объема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и условий предоставления субсидий на иные цели бюджетным и автономным учреждениям на приобретение с</w:t>
      </w:r>
      <w:r>
        <w:rPr>
          <w:sz w:val="28"/>
          <w:szCs w:val="28"/>
        </w:rPr>
        <w:t xml:space="preserve">редств обучения и воспитания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для муниципальных образовательных учреждений, открывающихся после капитального ремонта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РАСЧЕТ-ОБОСНОВАНИЕ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суммы субсидий на иные цели бюджетным и автономным учреждениям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приобретение средств обучения и воспитания для муниципальных образовательных учреждений, открывающихся после капитального ремонта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«___» _______________ 20____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(наименование учреждения)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3458"/>
        <w:gridCol w:w="1871"/>
        <w:gridCol w:w="2046"/>
        <w:gridCol w:w="212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средств обучения и воспитания, планируемых к приобретению*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Цена за единицу,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Стоимость,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субсидий на иные цели (руб.)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912"/>
        <w:gridCol w:w="592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1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 ________________</w:t>
            </w:r>
            <w:r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(дата заполнения)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(подпись, расшифровка подписи)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4"/>
        </w:rPr>
        <w:t xml:space="preserve">-----------------------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680"/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4"/>
          <w:szCs w:val="24"/>
        </w:rPr>
        <w:t xml:space="preserve">* В</w:t>
      </w:r>
      <w:r>
        <w:rPr>
          <w:iCs/>
          <w:sz w:val="24"/>
          <w:szCs w:val="24"/>
        </w:rPr>
        <w:t xml:space="preserve"> соответствии с пунктом 2.5 Порядка</w:t>
      </w:r>
      <w:r>
        <w:rPr>
          <w:sz w:val="24"/>
          <w:szCs w:val="24"/>
        </w:rPr>
        <w:t xml:space="preserve"> определения объема и условий предоставления субсидий на иные цели бюджетным и автономным учреждениям на приобретение средств обучения и воспитания для муниципальных образовательных учреждений, открывающихся после капитального ремонта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8" w:header="454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 xml:space="preserve">2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  <w:rPr>
        <w:rStyle w:val="934"/>
      </w:rPr>
      <w:framePr w:wrap="around" w:vAnchor="text" w:hAnchor="margin" w:xAlign="center" w:y="1"/>
    </w:pPr>
    <w:r>
      <w:rPr>
        <w:rStyle w:val="934"/>
      </w:rPr>
      <w:fldChar w:fldCharType="begin"/>
    </w:r>
    <w:r>
      <w:rPr>
        <w:rStyle w:val="934"/>
      </w:rPr>
      <w:instrText xml:space="preserve">PAGE  </w:instrText>
    </w:r>
    <w:r>
      <w:rPr>
        <w:rStyle w:val="934"/>
      </w:rPr>
      <w:fldChar w:fldCharType="end"/>
    </w:r>
    <w:r>
      <w:rPr>
        <w:rStyle w:val="934"/>
      </w:rPr>
    </w:r>
    <w:r>
      <w:rPr>
        <w:rStyle w:val="934"/>
      </w:rPr>
    </w:r>
  </w:p>
  <w:p>
    <w:pPr>
      <w:pStyle w:val="77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  <w:jc w:val="center"/>
    </w:pPr>
    <w:r/>
    <w:r/>
  </w:p>
  <w:p>
    <w:pPr>
      <w:pStyle w:val="777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 xml:space="preserve">3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2">
    <w:name w:val="Heading 3 Char"/>
    <w:basedOn w:val="755"/>
    <w:link w:val="748"/>
    <w:uiPriority w:val="9"/>
    <w:rPr>
      <w:rFonts w:ascii="Arial" w:hAnsi="Arial" w:eastAsia="Arial" w:cs="Arial"/>
      <w:sz w:val="30"/>
      <w:szCs w:val="30"/>
    </w:rPr>
  </w:style>
  <w:style w:type="character" w:styleId="733">
    <w:name w:val="Heading 4 Char"/>
    <w:basedOn w:val="755"/>
    <w:link w:val="749"/>
    <w:uiPriority w:val="9"/>
    <w:rPr>
      <w:rFonts w:ascii="Arial" w:hAnsi="Arial" w:eastAsia="Arial" w:cs="Arial"/>
      <w:b/>
      <w:bCs/>
      <w:sz w:val="26"/>
      <w:szCs w:val="26"/>
    </w:rPr>
  </w:style>
  <w:style w:type="character" w:styleId="734">
    <w:name w:val="Heading 5 Char"/>
    <w:basedOn w:val="755"/>
    <w:link w:val="750"/>
    <w:uiPriority w:val="9"/>
    <w:rPr>
      <w:rFonts w:ascii="Arial" w:hAnsi="Arial" w:eastAsia="Arial" w:cs="Arial"/>
      <w:b/>
      <w:bCs/>
      <w:sz w:val="24"/>
      <w:szCs w:val="24"/>
    </w:rPr>
  </w:style>
  <w:style w:type="character" w:styleId="735">
    <w:name w:val="Heading 6 Char"/>
    <w:basedOn w:val="755"/>
    <w:link w:val="751"/>
    <w:uiPriority w:val="9"/>
    <w:rPr>
      <w:rFonts w:ascii="Arial" w:hAnsi="Arial" w:eastAsia="Arial" w:cs="Arial"/>
      <w:b/>
      <w:bCs/>
      <w:sz w:val="22"/>
      <w:szCs w:val="22"/>
    </w:rPr>
  </w:style>
  <w:style w:type="character" w:styleId="736">
    <w:name w:val="Heading 7 Char"/>
    <w:basedOn w:val="755"/>
    <w:link w:val="7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>
    <w:name w:val="Heading 8 Char"/>
    <w:basedOn w:val="755"/>
    <w:link w:val="753"/>
    <w:uiPriority w:val="9"/>
    <w:rPr>
      <w:rFonts w:ascii="Arial" w:hAnsi="Arial" w:eastAsia="Arial" w:cs="Arial"/>
      <w:i/>
      <w:iCs/>
      <w:sz w:val="22"/>
      <w:szCs w:val="22"/>
    </w:rPr>
  </w:style>
  <w:style w:type="character" w:styleId="738">
    <w:name w:val="Heading 9 Char"/>
    <w:basedOn w:val="755"/>
    <w:link w:val="754"/>
    <w:uiPriority w:val="9"/>
    <w:rPr>
      <w:rFonts w:ascii="Arial" w:hAnsi="Arial" w:eastAsia="Arial" w:cs="Arial"/>
      <w:i/>
      <w:iCs/>
      <w:sz w:val="21"/>
      <w:szCs w:val="21"/>
    </w:rPr>
  </w:style>
  <w:style w:type="character" w:styleId="739">
    <w:name w:val="Title Char"/>
    <w:basedOn w:val="755"/>
    <w:link w:val="769"/>
    <w:uiPriority w:val="10"/>
    <w:rPr>
      <w:sz w:val="48"/>
      <w:szCs w:val="48"/>
    </w:rPr>
  </w:style>
  <w:style w:type="character" w:styleId="740">
    <w:name w:val="Subtitle Char"/>
    <w:basedOn w:val="755"/>
    <w:link w:val="771"/>
    <w:uiPriority w:val="11"/>
    <w:rPr>
      <w:sz w:val="24"/>
      <w:szCs w:val="24"/>
    </w:rPr>
  </w:style>
  <w:style w:type="character" w:styleId="741">
    <w:name w:val="Quote Char"/>
    <w:link w:val="773"/>
    <w:uiPriority w:val="29"/>
    <w:rPr>
      <w:i/>
    </w:rPr>
  </w:style>
  <w:style w:type="character" w:styleId="742">
    <w:name w:val="Intense Quote Char"/>
    <w:link w:val="775"/>
    <w:uiPriority w:val="30"/>
    <w:rPr>
      <w:i/>
    </w:rPr>
  </w:style>
  <w:style w:type="character" w:styleId="743">
    <w:name w:val="Footnote Text Char"/>
    <w:link w:val="910"/>
    <w:uiPriority w:val="99"/>
    <w:rPr>
      <w:sz w:val="18"/>
    </w:rPr>
  </w:style>
  <w:style w:type="character" w:styleId="744">
    <w:name w:val="Endnote Text Char"/>
    <w:link w:val="913"/>
    <w:uiPriority w:val="99"/>
    <w:rPr>
      <w:sz w:val="20"/>
    </w:rPr>
  </w:style>
  <w:style w:type="paragraph" w:styleId="745" w:default="1">
    <w:name w:val="Normal"/>
    <w:qFormat/>
  </w:style>
  <w:style w:type="paragraph" w:styleId="746">
    <w:name w:val="Heading 1"/>
    <w:basedOn w:val="745"/>
    <w:next w:val="745"/>
    <w:link w:val="927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747">
    <w:name w:val="Heading 2"/>
    <w:basedOn w:val="745"/>
    <w:next w:val="745"/>
    <w:link w:val="928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paragraph" w:styleId="748">
    <w:name w:val="Heading 3"/>
    <w:basedOn w:val="745"/>
    <w:next w:val="745"/>
    <w:link w:val="7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9">
    <w:name w:val="Heading 4"/>
    <w:basedOn w:val="745"/>
    <w:next w:val="745"/>
    <w:link w:val="7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0">
    <w:name w:val="Heading 5"/>
    <w:basedOn w:val="745"/>
    <w:next w:val="745"/>
    <w:link w:val="7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1">
    <w:name w:val="Heading 6"/>
    <w:basedOn w:val="745"/>
    <w:next w:val="745"/>
    <w:link w:val="7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2">
    <w:name w:val="Heading 7"/>
    <w:basedOn w:val="745"/>
    <w:next w:val="745"/>
    <w:link w:val="76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3">
    <w:name w:val="Heading 8"/>
    <w:basedOn w:val="745"/>
    <w:next w:val="745"/>
    <w:link w:val="7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4">
    <w:name w:val="Heading 9"/>
    <w:basedOn w:val="745"/>
    <w:next w:val="745"/>
    <w:link w:val="76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5" w:default="1">
    <w:name w:val="Default Paragraph Font"/>
    <w:uiPriority w:val="1"/>
    <w:semiHidden/>
    <w:unhideWhenUsed/>
  </w:style>
  <w:style w:type="table" w:styleId="7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7" w:default="1">
    <w:name w:val="No List"/>
    <w:uiPriority w:val="99"/>
    <w:semiHidden/>
    <w:unhideWhenUsed/>
  </w:style>
  <w:style w:type="character" w:styleId="758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59" w:customStyle="1">
    <w:name w:val="Heading 2 Char"/>
    <w:uiPriority w:val="9"/>
    <w:rPr>
      <w:rFonts w:ascii="Arial" w:hAnsi="Arial" w:eastAsia="Arial" w:cs="Arial"/>
      <w:sz w:val="34"/>
    </w:rPr>
  </w:style>
  <w:style w:type="character" w:styleId="760" w:customStyle="1">
    <w:name w:val="Заголовок 3 Знак"/>
    <w:link w:val="748"/>
    <w:uiPriority w:val="9"/>
    <w:rPr>
      <w:rFonts w:ascii="Arial" w:hAnsi="Arial" w:eastAsia="Arial" w:cs="Arial"/>
      <w:sz w:val="30"/>
      <w:szCs w:val="30"/>
    </w:rPr>
  </w:style>
  <w:style w:type="character" w:styleId="761" w:customStyle="1">
    <w:name w:val="Заголовок 4 Знак"/>
    <w:link w:val="749"/>
    <w:uiPriority w:val="9"/>
    <w:rPr>
      <w:rFonts w:ascii="Arial" w:hAnsi="Arial" w:eastAsia="Arial" w:cs="Arial"/>
      <w:b/>
      <w:bCs/>
      <w:sz w:val="26"/>
      <w:szCs w:val="26"/>
    </w:rPr>
  </w:style>
  <w:style w:type="character" w:styleId="762" w:customStyle="1">
    <w:name w:val="Заголовок 5 Знак"/>
    <w:link w:val="750"/>
    <w:uiPriority w:val="9"/>
    <w:rPr>
      <w:rFonts w:ascii="Arial" w:hAnsi="Arial" w:eastAsia="Arial" w:cs="Arial"/>
      <w:b/>
      <w:bCs/>
      <w:sz w:val="24"/>
      <w:szCs w:val="24"/>
    </w:rPr>
  </w:style>
  <w:style w:type="character" w:styleId="763" w:customStyle="1">
    <w:name w:val="Заголовок 6 Знак"/>
    <w:link w:val="751"/>
    <w:uiPriority w:val="9"/>
    <w:rPr>
      <w:rFonts w:ascii="Arial" w:hAnsi="Arial" w:eastAsia="Arial" w:cs="Arial"/>
      <w:b/>
      <w:bCs/>
      <w:sz w:val="22"/>
      <w:szCs w:val="22"/>
    </w:rPr>
  </w:style>
  <w:style w:type="character" w:styleId="764" w:customStyle="1">
    <w:name w:val="Заголовок 7 Знак"/>
    <w:link w:val="7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5" w:customStyle="1">
    <w:name w:val="Заголовок 8 Знак"/>
    <w:link w:val="753"/>
    <w:uiPriority w:val="9"/>
    <w:rPr>
      <w:rFonts w:ascii="Arial" w:hAnsi="Arial" w:eastAsia="Arial" w:cs="Arial"/>
      <w:i/>
      <w:iCs/>
      <w:sz w:val="22"/>
      <w:szCs w:val="22"/>
    </w:rPr>
  </w:style>
  <w:style w:type="character" w:styleId="766" w:customStyle="1">
    <w:name w:val="Заголовок 9 Знак"/>
    <w:link w:val="754"/>
    <w:uiPriority w:val="9"/>
    <w:rPr>
      <w:rFonts w:ascii="Arial" w:hAnsi="Arial" w:eastAsia="Arial" w:cs="Arial"/>
      <w:i/>
      <w:iCs/>
      <w:sz w:val="21"/>
      <w:szCs w:val="21"/>
    </w:rPr>
  </w:style>
  <w:style w:type="paragraph" w:styleId="767">
    <w:name w:val="List Paragraph"/>
    <w:basedOn w:val="745"/>
    <w:uiPriority w:val="34"/>
    <w:qFormat/>
    <w:pPr>
      <w:contextualSpacing/>
      <w:ind w:left="720"/>
    </w:pPr>
  </w:style>
  <w:style w:type="paragraph" w:styleId="768">
    <w:name w:val="No Spacing"/>
    <w:uiPriority w:val="1"/>
    <w:qFormat/>
    <w:rPr>
      <w:lang w:eastAsia="zh-CN"/>
    </w:rPr>
  </w:style>
  <w:style w:type="paragraph" w:styleId="769">
    <w:name w:val="Title"/>
    <w:basedOn w:val="745"/>
    <w:next w:val="745"/>
    <w:link w:val="77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0" w:customStyle="1">
    <w:name w:val="Название Знак"/>
    <w:link w:val="769"/>
    <w:uiPriority w:val="10"/>
    <w:rPr>
      <w:sz w:val="48"/>
      <w:szCs w:val="48"/>
    </w:rPr>
  </w:style>
  <w:style w:type="paragraph" w:styleId="771">
    <w:name w:val="Subtitle"/>
    <w:basedOn w:val="745"/>
    <w:next w:val="745"/>
    <w:link w:val="772"/>
    <w:uiPriority w:val="11"/>
    <w:qFormat/>
    <w:pPr>
      <w:spacing w:before="200" w:after="200"/>
    </w:pPr>
    <w:rPr>
      <w:sz w:val="24"/>
      <w:szCs w:val="24"/>
    </w:rPr>
  </w:style>
  <w:style w:type="character" w:styleId="772" w:customStyle="1">
    <w:name w:val="Подзаголовок Знак"/>
    <w:link w:val="771"/>
    <w:uiPriority w:val="11"/>
    <w:rPr>
      <w:sz w:val="24"/>
      <w:szCs w:val="24"/>
    </w:rPr>
  </w:style>
  <w:style w:type="paragraph" w:styleId="773">
    <w:name w:val="Quote"/>
    <w:basedOn w:val="745"/>
    <w:next w:val="745"/>
    <w:link w:val="774"/>
    <w:uiPriority w:val="29"/>
    <w:qFormat/>
    <w:pPr>
      <w:ind w:left="720" w:right="720"/>
    </w:pPr>
    <w:rPr>
      <w:i/>
    </w:rPr>
  </w:style>
  <w:style w:type="character" w:styleId="774" w:customStyle="1">
    <w:name w:val="Цитата 2 Знак"/>
    <w:link w:val="773"/>
    <w:uiPriority w:val="29"/>
    <w:rPr>
      <w:i/>
    </w:rPr>
  </w:style>
  <w:style w:type="paragraph" w:styleId="775">
    <w:name w:val="Intense Quote"/>
    <w:basedOn w:val="745"/>
    <w:next w:val="745"/>
    <w:link w:val="77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6" w:customStyle="1">
    <w:name w:val="Выделенная цитата Знак"/>
    <w:link w:val="775"/>
    <w:uiPriority w:val="30"/>
    <w:rPr>
      <w:i/>
    </w:rPr>
  </w:style>
  <w:style w:type="paragraph" w:styleId="777">
    <w:name w:val="Header"/>
    <w:basedOn w:val="745"/>
    <w:link w:val="935"/>
    <w:uiPriority w:val="99"/>
    <w:pPr>
      <w:tabs>
        <w:tab w:val="center" w:pos="4153" w:leader="none"/>
        <w:tab w:val="right" w:pos="8306" w:leader="none"/>
      </w:tabs>
    </w:pPr>
  </w:style>
  <w:style w:type="character" w:styleId="778" w:customStyle="1">
    <w:name w:val="Header Char"/>
    <w:uiPriority w:val="99"/>
  </w:style>
  <w:style w:type="paragraph" w:styleId="779">
    <w:name w:val="Footer"/>
    <w:basedOn w:val="745"/>
    <w:link w:val="933"/>
    <w:uiPriority w:val="99"/>
    <w:pPr>
      <w:tabs>
        <w:tab w:val="center" w:pos="4153" w:leader="none"/>
        <w:tab w:val="right" w:pos="8306" w:leader="none"/>
      </w:tabs>
    </w:pPr>
  </w:style>
  <w:style w:type="character" w:styleId="780" w:customStyle="1">
    <w:name w:val="Footer Char"/>
    <w:uiPriority w:val="99"/>
  </w:style>
  <w:style w:type="paragraph" w:styleId="781">
    <w:name w:val="Caption"/>
    <w:basedOn w:val="745"/>
    <w:next w:val="745"/>
    <w:link w:val="782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82" w:customStyle="1">
    <w:name w:val="Caption Char"/>
    <w:uiPriority w:val="99"/>
  </w:style>
  <w:style w:type="table" w:styleId="783">
    <w:name w:val="Table Grid"/>
    <w:basedOn w:val="756"/>
    <w:tblPr/>
  </w:style>
  <w:style w:type="table" w:styleId="784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8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9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0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25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6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74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09">
    <w:name w:val="Hyperlink"/>
    <w:uiPriority w:val="99"/>
    <w:unhideWhenUsed/>
    <w:rPr>
      <w:color w:val="0000ff"/>
      <w:u w:val="single"/>
    </w:rPr>
  </w:style>
  <w:style w:type="paragraph" w:styleId="910">
    <w:name w:val="footnote text"/>
    <w:basedOn w:val="745"/>
    <w:link w:val="911"/>
    <w:uiPriority w:val="99"/>
    <w:semiHidden/>
    <w:unhideWhenUsed/>
    <w:pPr>
      <w:spacing w:after="40"/>
    </w:pPr>
    <w:rPr>
      <w:sz w:val="18"/>
    </w:rPr>
  </w:style>
  <w:style w:type="character" w:styleId="911" w:customStyle="1">
    <w:name w:val="Текст сноски Знак"/>
    <w:link w:val="910"/>
    <w:uiPriority w:val="99"/>
    <w:rPr>
      <w:sz w:val="18"/>
    </w:rPr>
  </w:style>
  <w:style w:type="character" w:styleId="912">
    <w:name w:val="footnote reference"/>
    <w:uiPriority w:val="99"/>
    <w:unhideWhenUsed/>
    <w:rPr>
      <w:vertAlign w:val="superscript"/>
    </w:rPr>
  </w:style>
  <w:style w:type="paragraph" w:styleId="913">
    <w:name w:val="endnote text"/>
    <w:basedOn w:val="745"/>
    <w:link w:val="914"/>
    <w:uiPriority w:val="99"/>
    <w:semiHidden/>
    <w:unhideWhenUsed/>
  </w:style>
  <w:style w:type="character" w:styleId="914" w:customStyle="1">
    <w:name w:val="Текст концевой сноски Знак"/>
    <w:link w:val="913"/>
    <w:uiPriority w:val="99"/>
    <w:rPr>
      <w:sz w:val="20"/>
    </w:rPr>
  </w:style>
  <w:style w:type="character" w:styleId="915">
    <w:name w:val="endnote reference"/>
    <w:uiPriority w:val="99"/>
    <w:semiHidden/>
    <w:unhideWhenUsed/>
    <w:rPr>
      <w:vertAlign w:val="superscript"/>
    </w:rPr>
  </w:style>
  <w:style w:type="paragraph" w:styleId="916">
    <w:name w:val="toc 1"/>
    <w:basedOn w:val="745"/>
    <w:next w:val="745"/>
    <w:uiPriority w:val="39"/>
    <w:unhideWhenUsed/>
    <w:pPr>
      <w:spacing w:after="57"/>
    </w:pPr>
  </w:style>
  <w:style w:type="paragraph" w:styleId="917">
    <w:name w:val="toc 2"/>
    <w:basedOn w:val="745"/>
    <w:next w:val="745"/>
    <w:uiPriority w:val="39"/>
    <w:unhideWhenUsed/>
    <w:pPr>
      <w:ind w:left="283"/>
      <w:spacing w:after="57"/>
    </w:pPr>
  </w:style>
  <w:style w:type="paragraph" w:styleId="918">
    <w:name w:val="toc 3"/>
    <w:basedOn w:val="745"/>
    <w:next w:val="745"/>
    <w:uiPriority w:val="39"/>
    <w:unhideWhenUsed/>
    <w:pPr>
      <w:ind w:left="567"/>
      <w:spacing w:after="57"/>
    </w:pPr>
  </w:style>
  <w:style w:type="paragraph" w:styleId="919">
    <w:name w:val="toc 4"/>
    <w:basedOn w:val="745"/>
    <w:next w:val="745"/>
    <w:uiPriority w:val="39"/>
    <w:unhideWhenUsed/>
    <w:pPr>
      <w:ind w:left="850"/>
      <w:spacing w:after="57"/>
    </w:pPr>
  </w:style>
  <w:style w:type="paragraph" w:styleId="920">
    <w:name w:val="toc 5"/>
    <w:basedOn w:val="745"/>
    <w:next w:val="745"/>
    <w:uiPriority w:val="39"/>
    <w:unhideWhenUsed/>
    <w:pPr>
      <w:ind w:left="1134"/>
      <w:spacing w:after="57"/>
    </w:pPr>
  </w:style>
  <w:style w:type="paragraph" w:styleId="921">
    <w:name w:val="toc 6"/>
    <w:basedOn w:val="745"/>
    <w:next w:val="745"/>
    <w:uiPriority w:val="39"/>
    <w:unhideWhenUsed/>
    <w:pPr>
      <w:ind w:left="1417"/>
      <w:spacing w:after="57"/>
    </w:pPr>
  </w:style>
  <w:style w:type="paragraph" w:styleId="922">
    <w:name w:val="toc 7"/>
    <w:basedOn w:val="745"/>
    <w:next w:val="745"/>
    <w:uiPriority w:val="39"/>
    <w:unhideWhenUsed/>
    <w:pPr>
      <w:ind w:left="1701"/>
      <w:spacing w:after="57"/>
    </w:pPr>
  </w:style>
  <w:style w:type="paragraph" w:styleId="923">
    <w:name w:val="toc 8"/>
    <w:basedOn w:val="745"/>
    <w:next w:val="745"/>
    <w:uiPriority w:val="39"/>
    <w:unhideWhenUsed/>
    <w:pPr>
      <w:ind w:left="1984"/>
      <w:spacing w:after="57"/>
    </w:pPr>
  </w:style>
  <w:style w:type="paragraph" w:styleId="924">
    <w:name w:val="toc 9"/>
    <w:basedOn w:val="745"/>
    <w:next w:val="745"/>
    <w:uiPriority w:val="39"/>
    <w:unhideWhenUsed/>
    <w:pPr>
      <w:ind w:left="2268"/>
      <w:spacing w:after="57"/>
    </w:pPr>
  </w:style>
  <w:style w:type="paragraph" w:styleId="925">
    <w:name w:val="TOC Heading"/>
    <w:uiPriority w:val="39"/>
    <w:unhideWhenUsed/>
    <w:rPr>
      <w:lang w:eastAsia="zh-CN"/>
    </w:rPr>
  </w:style>
  <w:style w:type="paragraph" w:styleId="926">
    <w:name w:val="table of figures"/>
    <w:basedOn w:val="745"/>
    <w:next w:val="745"/>
    <w:uiPriority w:val="99"/>
    <w:unhideWhenUsed/>
  </w:style>
  <w:style w:type="character" w:styleId="927" w:customStyle="1">
    <w:name w:val="Заголовок 1 Знак"/>
    <w:link w:val="746"/>
    <w:rPr>
      <w:sz w:val="24"/>
    </w:rPr>
  </w:style>
  <w:style w:type="character" w:styleId="928" w:customStyle="1">
    <w:name w:val="Заголовок 2 Знак"/>
    <w:link w:val="747"/>
    <w:rPr>
      <w:sz w:val="24"/>
    </w:rPr>
  </w:style>
  <w:style w:type="paragraph" w:styleId="929">
    <w:name w:val="Body Text"/>
    <w:basedOn w:val="745"/>
    <w:link w:val="930"/>
    <w:pPr>
      <w:ind w:right="3117"/>
    </w:pPr>
    <w:rPr>
      <w:rFonts w:ascii="Courier New" w:hAnsi="Courier New"/>
      <w:sz w:val="26"/>
      <w:lang w:val="en-US" w:eastAsia="en-US"/>
    </w:rPr>
  </w:style>
  <w:style w:type="character" w:styleId="930" w:customStyle="1">
    <w:name w:val="Основной текст Знак"/>
    <w:link w:val="929"/>
    <w:rPr>
      <w:rFonts w:ascii="Courier New" w:hAnsi="Courier New"/>
      <w:sz w:val="26"/>
    </w:rPr>
  </w:style>
  <w:style w:type="paragraph" w:styleId="931">
    <w:name w:val="Body Text Indent"/>
    <w:basedOn w:val="745"/>
    <w:link w:val="932"/>
    <w:pPr>
      <w:ind w:right="-1"/>
      <w:jc w:val="both"/>
    </w:pPr>
    <w:rPr>
      <w:sz w:val="26"/>
      <w:lang w:val="en-US" w:eastAsia="en-US"/>
    </w:rPr>
  </w:style>
  <w:style w:type="character" w:styleId="932" w:customStyle="1">
    <w:name w:val="Основной текст с отступом Знак"/>
    <w:link w:val="931"/>
    <w:rPr>
      <w:sz w:val="26"/>
    </w:rPr>
  </w:style>
  <w:style w:type="character" w:styleId="933" w:customStyle="1">
    <w:name w:val="Нижний колонтитул Знак"/>
    <w:basedOn w:val="755"/>
    <w:link w:val="779"/>
    <w:uiPriority w:val="99"/>
  </w:style>
  <w:style w:type="character" w:styleId="934">
    <w:name w:val="page number"/>
    <w:basedOn w:val="755"/>
  </w:style>
  <w:style w:type="character" w:styleId="935" w:customStyle="1">
    <w:name w:val="Верхний колонтитул Знак"/>
    <w:link w:val="777"/>
    <w:uiPriority w:val="99"/>
  </w:style>
  <w:style w:type="paragraph" w:styleId="936">
    <w:name w:val="Balloon Text"/>
    <w:basedOn w:val="745"/>
    <w:link w:val="937"/>
    <w:rPr>
      <w:rFonts w:ascii="Segoe UI" w:hAnsi="Segoe UI"/>
      <w:sz w:val="18"/>
      <w:szCs w:val="18"/>
      <w:lang w:val="en-US" w:eastAsia="en-US"/>
    </w:rPr>
  </w:style>
  <w:style w:type="character" w:styleId="937" w:customStyle="1">
    <w:name w:val="Текст выноски Знак"/>
    <w:link w:val="936"/>
    <w:rPr>
      <w:rFonts w:ascii="Segoe UI" w:hAnsi="Segoe UI" w:cs="Segoe UI"/>
      <w:sz w:val="18"/>
      <w:szCs w:val="18"/>
    </w:rPr>
  </w:style>
  <w:style w:type="paragraph" w:styleId="938" w:customStyle="1">
    <w:name w:val="Форма"/>
    <w:rPr>
      <w:sz w:val="28"/>
      <w:szCs w:val="28"/>
    </w:rPr>
  </w:style>
  <w:style w:type="paragraph" w:styleId="939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paragraph" w:styleId="940" w:customStyle="1">
    <w:name w:val="ConsPlusNormal"/>
    <w:pPr>
      <w:widowControl w:val="off"/>
    </w:pPr>
    <w:rPr>
      <w:rFonts w:ascii="Calibri" w:hAnsi="Calibri" w:cs="Calibri"/>
      <w:sz w:val="22"/>
    </w:rPr>
  </w:style>
  <w:style w:type="paragraph" w:styleId="941" w:customStyle="1">
    <w:name w:val="Обычный (веб)1"/>
    <w:basedOn w:val="745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5</cp:revision>
  <dcterms:created xsi:type="dcterms:W3CDTF">2025-09-09T11:11:00Z</dcterms:created>
  <dcterms:modified xsi:type="dcterms:W3CDTF">2025-09-17T06:59:45Z</dcterms:modified>
  <cp:version>917504</cp:version>
</cp:coreProperties>
</file>