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6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2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663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6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2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663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</w:pPr>
      <w:r/>
      <w:r/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в Порядок определения объема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и условий предоставления субсидий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на иные цели бюджетным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и автономным учреждениям,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подведомственным департаменту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культуры и молодежной политики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администрации города Перми,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на оборудование объектов городской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инфраструктуры средствами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беспрепятственного доступа,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утвержденный постановлением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</w:p>
    <w:p>
      <w:pPr>
        <w:pStyle w:val="929"/>
        <w:spacing w:line="240" w:lineRule="exact"/>
        <w:rPr>
          <w:b/>
        </w:rPr>
      </w:pPr>
      <w:r>
        <w:rPr>
          <w:b/>
        </w:rPr>
        <w:t xml:space="preserve">от 12.10.2020 № 953 </w:t>
      </w:r>
      <w:r>
        <w:rPr>
          <w:b/>
        </w:rPr>
      </w:r>
    </w:p>
    <w:p>
      <w:pPr>
        <w:pStyle w:val="929"/>
        <w:spacing w:line="240" w:lineRule="exact"/>
      </w:pPr>
      <w:r>
        <w:rPr>
          <w:b/>
        </w:rPr>
        <w:br/>
      </w:r>
      <w:r/>
    </w:p>
    <w:p>
      <w:pPr>
        <w:pStyle w:val="929"/>
      </w:pPr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bookmarkStart w:id="0" w:name="_Hlk175747396"/>
      <w:r>
        <w:rPr>
          <w:sz w:val="28"/>
          <w:szCs w:val="28"/>
        </w:rPr>
        <w:t xml:space="preserve">Порядок определения объема и у</w:t>
      </w:r>
      <w:r>
        <w:rPr>
          <w:sz w:val="28"/>
          <w:szCs w:val="28"/>
        </w:rPr>
        <w:t xml:space="preserve">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оборудование объектов городской инфраструктуры средствами беспрепятственного доступа</w:t>
      </w:r>
      <w:bookmarkEnd w:id="0"/>
      <w:r>
        <w:rPr>
          <w:sz w:val="28"/>
          <w:szCs w:val="28"/>
        </w:rPr>
        <w:t xml:space="preserve">, утвержденный постановлением администрации города Перми </w:t>
      </w:r>
      <w:r>
        <w:rPr>
          <w:sz w:val="28"/>
          <w:szCs w:val="28"/>
        </w:rPr>
        <w:br/>
        <w:t xml:space="preserve">от 12 октября 2020 г. № 953 (в ред. от 26.02.2021 № 116, от 30.09.2021 № 782, </w:t>
      </w:r>
      <w:r>
        <w:rPr>
          <w:sz w:val="28"/>
          <w:szCs w:val="28"/>
        </w:rPr>
        <w:br/>
        <w:t xml:space="preserve">от 18.10.2021 № 890, от 29.10.2021 № 965, от 16.05.2022 № 361, от 22.09.2022 </w:t>
      </w:r>
      <w:r>
        <w:rPr>
          <w:sz w:val="28"/>
          <w:szCs w:val="28"/>
        </w:rPr>
        <w:br/>
        <w:t xml:space="preserve">№ 844, от 09.01.2023 № 2, от 16.05.2023 № 394, от 14.09.2023 № 826, от 03.10.2023 № 939, от 13.10.2023 № 1032, от 14.06.2024 № 490, от 08.10.2024 № 857, </w:t>
      </w:r>
      <w:r>
        <w:rPr>
          <w:sz w:val="28"/>
          <w:szCs w:val="28"/>
        </w:rPr>
        <w:br/>
        <w:t xml:space="preserve">от 18.10.2024 № 970),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2.1 изложить в следующей редакции: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2.1. Для получения субсидий на иные цели Учреждения направляют в Департамент: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пояснительную записку, содержащую обоснование необходимости предоставления субсидий на иные цели;</w:t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/>
      <w:hyperlink w:tooltip="РАСЧЕТ-ОБОСНОВАНИЕ" w:anchor="P211" w:history="1">
        <w:r>
          <w:rPr>
            <w:color w:val="000000"/>
            <w:sz w:val="28"/>
            <w:szCs w:val="28"/>
            <w14:ligatures w14:val="standardContextual"/>
          </w:rPr>
          <w:t xml:space="preserve">расчет-обоснование</w:t>
        </w:r>
      </w:hyperlink>
      <w:r>
        <w:rPr>
          <w:color w:val="000000"/>
          <w:sz w:val="28"/>
          <w:szCs w:val="28"/>
          <w14:ligatures w14:val="standardContextual"/>
        </w:rPr>
        <w:t xml:space="preserve"> с</w:t>
      </w:r>
      <w:r>
        <w:rPr>
          <w:sz w:val="28"/>
          <w:szCs w:val="28"/>
          <w14:ligatures w14:val="standardContextual"/>
        </w:rPr>
        <w:t xml:space="preserve">уммы субсидий на иные цели согласно приложению 1 к настоящему Порядку;</w:t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перечень объектов, подлежащих ремонту;</w:t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акт обследования объектов, подлежащих ремонту;</w:t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дефектную ведомость;</w:t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предварительный сводный и локальный сметный расчет </w:t>
      </w:r>
      <w:r>
        <w:rPr>
          <w:sz w:val="28"/>
          <w:szCs w:val="28"/>
          <w14:ligatures w14:val="standardContextual"/>
        </w:rPr>
        <w:t xml:space="preserve">на выполнение соответствующих работ (оказание услуг)</w:t>
      </w:r>
      <w:r>
        <w:rPr>
          <w:sz w:val="28"/>
          <w:szCs w:val="28"/>
          <w14:ligatures w14:val="standardContextual"/>
        </w:rPr>
        <w:t xml:space="preserve"> </w:t>
      </w:r>
      <w:r>
        <w:rPr>
          <w:sz w:val="28"/>
          <w:szCs w:val="28"/>
          <w14:ligatures w14:val="standardContextual"/>
        </w:rPr>
        <w:t xml:space="preserve">в актуальных ценах, согласованный муниципальным казенным учреждением «Административно-хозяйственная служба системы образования»</w:t>
      </w:r>
      <w:bookmarkStart w:id="1" w:name="P81"/>
      <w:r/>
      <w:bookmarkEnd w:id="1"/>
      <w:r>
        <w:rPr>
          <w:sz w:val="28"/>
          <w:szCs w:val="28"/>
          <w14:ligatures w14:val="standardContextual"/>
        </w:rPr>
        <w:t xml:space="preserve"> города Перми, обоснования цены материалов (оборудования), </w:t>
      </w:r>
      <w:r>
        <w:rPr>
          <w:sz w:val="28"/>
          <w:szCs w:val="28"/>
          <w14:ligatures w14:val="standardContextual"/>
        </w:rPr>
        <w:t xml:space="preserve">включенных в локальные сметные расчеты на основании прайс-листов, коммерческих предложений с приложением не менее трех ценовых информаций;</w:t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изменения (перераспределения) утвержденных объемов субсидий на иные цели в течение текущего года Учреждения направляют в Департамент документы, указанные в абзацах втором-</w:t>
      </w:r>
      <w:r>
        <w:rPr>
          <w:sz w:val="28"/>
          <w:szCs w:val="28"/>
        </w:rPr>
        <w:t xml:space="preserve">седьмом</w:t>
      </w:r>
      <w:r>
        <w:rPr>
          <w:sz w:val="28"/>
          <w:szCs w:val="28"/>
        </w:rPr>
        <w:t xml:space="preserve"> пункта 2.1 настоящего Порядка, до 20 числа текущего месяца.</w:t>
      </w:r>
      <w:r>
        <w:rPr>
          <w:sz w:val="28"/>
          <w:szCs w:val="28"/>
        </w:rPr>
      </w:r>
    </w:p>
    <w:p>
      <w:pPr>
        <w:pStyle w:val="932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Учреждениями сведений Департамент принимает меры по уточнению объемов субсидий на иные цели.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2.2 изложить в следующей редакции: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2" w:name="_Hlk204073791"/>
      <w:r>
        <w:rPr>
          <w:sz w:val="28"/>
          <w:szCs w:val="28"/>
        </w:rPr>
        <w:t xml:space="preserve">«2.2. Рассмотрение и проверка документов на полноту их представления </w:t>
      </w:r>
      <w:r>
        <w:rPr>
          <w:sz w:val="28"/>
          <w:szCs w:val="28"/>
        </w:rPr>
        <w:br/>
        <w:t xml:space="preserve">в соответствии с пунктом 2.1 настоящего Порядка осуществляется Департаментом в течение 10 рабочих дней с даты их представления. Размер субсидий на иные цели в разрезе Учреждений устанавливается приказом начальника Департамента </w:t>
      </w:r>
      <w:r>
        <w:rPr>
          <w:sz w:val="28"/>
          <w:szCs w:val="28"/>
        </w:rPr>
        <w:t xml:space="preserve">с учетом протокола комиссии</w:t>
      </w:r>
      <w:r>
        <w:rPr>
          <w:sz w:val="28"/>
          <w:szCs w:val="28"/>
        </w:rPr>
        <w:t xml:space="preserve"> по отбору и ранжированию объектов муниципальной собственности, подлежащих ремонту и приведению в нормативное состояние по функционально-целевому блоку «Социальная сфера».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начальника Департамента издается в течение 20 рабочих дней после рассмотрения и проверки документов, представленных Учреждениями в соответствии с пунктом 2.1 настоящего Порядка.»;</w:t>
      </w:r>
      <w:bookmarkEnd w:id="2"/>
      <w:r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3.1 изложить в следующей редакции: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Соглашении, представляют </w:t>
      </w:r>
      <w:r>
        <w:rPr>
          <w:sz w:val="28"/>
          <w:szCs w:val="28"/>
        </w:rPr>
        <w:br/>
        <w:t xml:space="preserve">в Департамент следующие отчеты (далее – Отчеты):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</w:t>
      </w:r>
      <w:r>
        <w:rPr>
          <w:sz w:val="28"/>
          <w:szCs w:val="28"/>
        </w:rPr>
        <w:t xml:space="preserve">зультатов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на иные цели.»;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3.3 изложить в следующей редакции: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Ответственность за своевременность представления Отчетов и достоверность отчетных данных возлагается на руководителей Учреждений.».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right" w:pos="992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993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rPr>
        <w:rStyle w:val="925"/>
      </w:rPr>
      <w:framePr w:wrap="around" w:vAnchor="text" w:hAnchor="margin" w:xAlign="center" w:y="1"/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separate"/>
    </w:r>
    <w:r>
      <w:rPr>
        <w:rStyle w:val="925"/>
      </w:rPr>
      <w:t xml:space="preserve">2</w:t>
    </w:r>
    <w:r>
      <w:rPr>
        <w:rStyle w:val="925"/>
      </w:rPr>
      <w:fldChar w:fldCharType="end"/>
    </w:r>
    <w:r>
      <w:rPr>
        <w:rStyle w:val="925"/>
      </w:rPr>
    </w:r>
  </w:p>
  <w:p>
    <w:pPr>
      <w:pStyle w:val="7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</w:pPr>
    <w:r/>
    <w:r/>
  </w:p>
  <w:p>
    <w:pPr>
      <w:pStyle w:val="7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rPr>
      <w:lang w:eastAsia="ru-RU"/>
    </w:rPr>
  </w:style>
  <w:style w:type="paragraph" w:styleId="724">
    <w:name w:val="Heading 1"/>
    <w:basedOn w:val="723"/>
    <w:next w:val="723"/>
    <w:link w:val="918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25">
    <w:name w:val="Heading 2"/>
    <w:basedOn w:val="723"/>
    <w:next w:val="723"/>
    <w:link w:val="919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26">
    <w:name w:val="Heading 3"/>
    <w:basedOn w:val="723"/>
    <w:next w:val="723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3 Char"/>
    <w:basedOn w:val="733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Heading 7 Char"/>
    <w:basedOn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3"/>
    <w:uiPriority w:val="10"/>
    <w:rPr>
      <w:sz w:val="48"/>
      <w:szCs w:val="48"/>
    </w:rPr>
  </w:style>
  <w:style w:type="character" w:styleId="744" w:customStyle="1">
    <w:name w:val="Subtitle Char"/>
    <w:basedOn w:val="733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Footnote Text Char"/>
    <w:uiPriority w:val="99"/>
    <w:rPr>
      <w:sz w:val="18"/>
    </w:rPr>
  </w:style>
  <w:style w:type="character" w:styleId="748" w:customStyle="1">
    <w:name w:val="Endnote Text Char"/>
    <w:uiPriority w:val="99"/>
    <w:rPr>
      <w:sz w:val="20"/>
    </w:rPr>
  </w:style>
  <w:style w:type="character" w:styleId="74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link w:val="726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Заголовок 4 Знак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23"/>
    <w:uiPriority w:val="34"/>
    <w:qFormat/>
    <w:pPr>
      <w:contextualSpacing/>
      <w:ind w:left="720"/>
    </w:pPr>
  </w:style>
  <w:style w:type="paragraph" w:styleId="759">
    <w:name w:val="No Spacing"/>
    <w:uiPriority w:val="1"/>
    <w:qFormat/>
  </w:style>
  <w:style w:type="paragraph" w:styleId="760">
    <w:name w:val="Title"/>
    <w:basedOn w:val="723"/>
    <w:next w:val="723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Заголовок Знак"/>
    <w:link w:val="760"/>
    <w:uiPriority w:val="10"/>
    <w:rPr>
      <w:sz w:val="48"/>
      <w:szCs w:val="48"/>
    </w:rPr>
  </w:style>
  <w:style w:type="paragraph" w:styleId="762">
    <w:name w:val="Subtitle"/>
    <w:basedOn w:val="723"/>
    <w:next w:val="723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link w:val="762"/>
    <w:uiPriority w:val="11"/>
    <w:rPr>
      <w:sz w:val="24"/>
      <w:szCs w:val="24"/>
    </w:rPr>
  </w:style>
  <w:style w:type="paragraph" w:styleId="764">
    <w:name w:val="Quote"/>
    <w:basedOn w:val="723"/>
    <w:next w:val="723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23"/>
    <w:next w:val="723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paragraph" w:styleId="768">
    <w:name w:val="Header"/>
    <w:basedOn w:val="723"/>
    <w:link w:val="926"/>
    <w:uiPriority w:val="99"/>
    <w:pPr>
      <w:tabs>
        <w:tab w:val="center" w:pos="4153" w:leader="none"/>
        <w:tab w:val="right" w:pos="8306" w:leader="none"/>
      </w:tabs>
    </w:pPr>
  </w:style>
  <w:style w:type="character" w:styleId="769" w:customStyle="1">
    <w:name w:val="Header Char"/>
    <w:uiPriority w:val="99"/>
  </w:style>
  <w:style w:type="paragraph" w:styleId="770">
    <w:name w:val="Footer"/>
    <w:basedOn w:val="723"/>
    <w:link w:val="924"/>
    <w:uiPriority w:val="99"/>
    <w:pPr>
      <w:tabs>
        <w:tab w:val="center" w:pos="4153" w:leader="none"/>
        <w:tab w:val="right" w:pos="8306" w:leader="none"/>
      </w:tabs>
    </w:pPr>
  </w:style>
  <w:style w:type="character" w:styleId="771" w:customStyle="1">
    <w:name w:val="Footer Char"/>
    <w:uiPriority w:val="99"/>
  </w:style>
  <w:style w:type="paragraph" w:styleId="772">
    <w:name w:val="Caption"/>
    <w:basedOn w:val="723"/>
    <w:next w:val="72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3" w:customStyle="1">
    <w:name w:val="Caption Char"/>
    <w:uiPriority w:val="99"/>
  </w:style>
  <w:style w:type="table" w:styleId="77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/>
      <w:u w:val="single"/>
    </w:rPr>
  </w:style>
  <w:style w:type="paragraph" w:styleId="901">
    <w:name w:val="footnote text"/>
    <w:basedOn w:val="723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723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723"/>
    <w:next w:val="723"/>
    <w:uiPriority w:val="39"/>
    <w:unhideWhenUsed/>
    <w:pPr>
      <w:spacing w:after="57"/>
    </w:pPr>
  </w:style>
  <w:style w:type="paragraph" w:styleId="908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909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910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911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912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13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14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15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23"/>
    <w:next w:val="723"/>
    <w:uiPriority w:val="99"/>
    <w:unhideWhenUsed/>
  </w:style>
  <w:style w:type="character" w:styleId="918" w:customStyle="1">
    <w:name w:val="Заголовок 1 Знак"/>
    <w:link w:val="724"/>
    <w:rPr>
      <w:sz w:val="24"/>
    </w:rPr>
  </w:style>
  <w:style w:type="character" w:styleId="919" w:customStyle="1">
    <w:name w:val="Заголовок 2 Знак"/>
    <w:link w:val="725"/>
    <w:rPr>
      <w:sz w:val="24"/>
    </w:rPr>
  </w:style>
  <w:style w:type="paragraph" w:styleId="920">
    <w:name w:val="Body Text"/>
    <w:basedOn w:val="723"/>
    <w:link w:val="921"/>
    <w:pPr>
      <w:ind w:right="3117"/>
    </w:pPr>
    <w:rPr>
      <w:rFonts w:ascii="Courier New" w:hAnsi="Courier New"/>
      <w:sz w:val="26"/>
      <w:lang w:val="en-US" w:eastAsia="en-US"/>
    </w:rPr>
  </w:style>
  <w:style w:type="character" w:styleId="921" w:customStyle="1">
    <w:name w:val="Основной текст Знак"/>
    <w:link w:val="920"/>
    <w:rPr>
      <w:rFonts w:ascii="Courier New" w:hAnsi="Courier New"/>
      <w:sz w:val="26"/>
    </w:rPr>
  </w:style>
  <w:style w:type="paragraph" w:styleId="922">
    <w:name w:val="Body Text Indent"/>
    <w:basedOn w:val="723"/>
    <w:link w:val="923"/>
    <w:pPr>
      <w:ind w:right="-1"/>
      <w:jc w:val="both"/>
    </w:pPr>
    <w:rPr>
      <w:sz w:val="26"/>
      <w:lang w:val="en-US" w:eastAsia="en-US"/>
    </w:rPr>
  </w:style>
  <w:style w:type="character" w:styleId="923" w:customStyle="1">
    <w:name w:val="Основной текст с отступом Знак"/>
    <w:link w:val="922"/>
    <w:rPr>
      <w:sz w:val="26"/>
    </w:rPr>
  </w:style>
  <w:style w:type="character" w:styleId="924" w:customStyle="1">
    <w:name w:val="Нижний колонтитул Знак"/>
    <w:basedOn w:val="733"/>
    <w:link w:val="770"/>
    <w:uiPriority w:val="99"/>
  </w:style>
  <w:style w:type="character" w:styleId="925">
    <w:name w:val="page number"/>
    <w:basedOn w:val="733"/>
  </w:style>
  <w:style w:type="character" w:styleId="926" w:customStyle="1">
    <w:name w:val="Верхний колонтитул Знак"/>
    <w:link w:val="768"/>
    <w:uiPriority w:val="99"/>
  </w:style>
  <w:style w:type="paragraph" w:styleId="927">
    <w:name w:val="Balloon Text"/>
    <w:basedOn w:val="723"/>
    <w:link w:val="928"/>
    <w:rPr>
      <w:rFonts w:ascii="Segoe UI" w:hAnsi="Segoe UI"/>
      <w:sz w:val="18"/>
      <w:szCs w:val="18"/>
      <w:lang w:val="en-US" w:eastAsia="en-US"/>
    </w:rPr>
  </w:style>
  <w:style w:type="character" w:styleId="928" w:customStyle="1">
    <w:name w:val="Текст выноски Знак"/>
    <w:link w:val="927"/>
    <w:rPr>
      <w:rFonts w:ascii="Segoe UI" w:hAnsi="Segoe UI" w:cs="Segoe UI"/>
      <w:sz w:val="18"/>
      <w:szCs w:val="18"/>
    </w:rPr>
  </w:style>
  <w:style w:type="paragraph" w:styleId="929" w:customStyle="1">
    <w:name w:val="Форма"/>
    <w:rPr>
      <w:sz w:val="28"/>
      <w:szCs w:val="28"/>
      <w:lang w:eastAsia="ru-RU"/>
    </w:rPr>
  </w:style>
  <w:style w:type="paragraph" w:styleId="930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31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32">
    <w:name w:val="Normal (Web)"/>
    <w:basedOn w:val="723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79</cp:revision>
  <dcterms:created xsi:type="dcterms:W3CDTF">2024-10-09T12:23:00Z</dcterms:created>
  <dcterms:modified xsi:type="dcterms:W3CDTF">2025-09-23T07:12:26Z</dcterms:modified>
  <cp:version>1048576</cp:version>
</cp:coreProperties>
</file>