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2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6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1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1"/>
                                <w:spacing w:before="12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23.09.2025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665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86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1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1"/>
                          <w:spacing w:before="12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23.09.2025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665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5386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09"/>
        <w:ind w:left="0" w:right="4819" w:firstLine="0"/>
        <w:jc w:val="left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</w:t>
      </w:r>
      <w:r>
        <w:rPr>
          <w:b/>
          <w:bCs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Положение </w:t>
        <w:br/>
        <w:t xml:space="preserve">о комиссии по предоставлению </w:t>
        <w:br/>
        <w:t xml:space="preserve">муниципального имущества города Перми в безвозмездное пользование </w:t>
        <w:br/>
        <w:t xml:space="preserve">социально ориентированным </w:t>
        <w:br/>
        <w:t xml:space="preserve">некоммерческим организациям, </w:t>
        <w:br/>
        <w:t xml:space="preserve">утвержденное постановлением </w:t>
        <w:br/>
        <w:t xml:space="preserve">администрации города Перми </w:t>
        <w:br/>
        <w:t xml:space="preserve">от 12.03.2018 № 124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Уставом города Перми, в целях актуализации правовых актов администрации города Перми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left="0" w:right="0" w:firstLine="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Внести в Положение о комиссии по предоставлению муниципального имущества города Перми в безвозмездное пользование социально ориентированным некоммерческим организациям, утвержденное постановлением администрации города Перми от 12 марта 2018 г. 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124 (в ред. от 15.04.2019 № 99-П, от 30.07.2020 № 666, от 31.08.2020 № 774, от 26.03.2021 № 210, от 01.06.2022 № 431, от 04.08.2023 № 661, от 10.10.2023 № 955)</w:t>
      </w:r>
      <w:r>
        <w:rPr>
          <w:color w:val="000000" w:themeColor="text1"/>
          <w:sz w:val="28"/>
          <w:szCs w:val="28"/>
        </w:rPr>
        <w:t xml:space="preserve">, следующие изменения: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1.1. пункт 1.5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«1.5.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Организационно-техническое обеспечение деятельности комиссии осуществляет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функциональное подразделение администрации города Перми, наделенное полномочиями по обеспечению эффективной реализации муниципальной политики в сфере координации взаимодействия территориальных и функциональных органов, функциональных подразделений админи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страции города Перми с общественными и иными некоммерческими организациями, религиозными объединениями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(далее – УВОСиМО).»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1.2. пункт 3.1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изложить в следующей редакции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«</w:t>
      </w:r>
      <w:r>
        <w:rPr>
          <w:color w:val="000000" w:themeColor="text1"/>
          <w:sz w:val="28"/>
          <w:szCs w:val="28"/>
          <w:highlight w:val="white"/>
        </w:rPr>
        <w:t xml:space="preserve">3.1.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Комиссия выполняет следующие функции: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3.1.1. рассматривает заявки и приложенные к ним документы 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соответствие (несоответствие) требованиям,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установленным пунктами 3.1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3.2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Порядка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 условий предоставления социально ориентированным некоммерческим организациям в безвозмездное пользование муниципального имущества, включенного в перечень муниципального имущества, свободного от прав третьих лиц (за исключением имущественных прав неком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мерческих организаций), кото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рое может быть предоставлено социально ориентированным некоммерческим организациям, утвержденных решением Пермской городской Думы от 21 ноября 2017 г. № 245 «О некоторых вопросах в сфере распоряжения муниципальным имуществом города Перми» (далее – Порядок)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а также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соответс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твие (несоответствие)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организации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требованиям, установленным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пунктом 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.1 Порядка,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3.1.1.1. принимает одно из следующих решений: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3.1.1.1.1.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 отказе в рассмотрении заявки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случае несоответствия указанным требованиям)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3.1.1.1.2.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 предоставлении объекта в безвозмездное пользование организации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случае соответствия указанным требованиям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если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один объект поступила только одна заявка)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3.1.1.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осуществляет оценку и сопоставление заявок по критериям, установленным Порядком,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составляет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рейтинг заявок, определяет ссудополучателя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случае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соответствия указанным требованиям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 если на один объект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поступили две и  более заявки)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3.1.2.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доводит до сведения УВОСиМО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резул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ьтаты решения комиссии.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1.3.</w:t>
      </w:r>
      <w:r>
        <w:rPr>
          <w:sz w:val="28"/>
          <w:szCs w:val="28"/>
          <w:highlight w:val="white"/>
        </w:rPr>
        <w:t xml:space="preserve"> в пункте 4.4 слово «заявителю» заменить словом «представителю»;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1.4.</w:t>
      </w:r>
      <w:r>
        <w:rPr>
          <w:sz w:val="28"/>
          <w:szCs w:val="28"/>
          <w:highlight w:val="white"/>
        </w:rPr>
        <w:t xml:space="preserve"> пункт 6.5.4 признать утратившим силу;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1.5.</w:t>
      </w:r>
      <w:r>
        <w:rPr>
          <w:sz w:val="28"/>
          <w:szCs w:val="28"/>
          <w:highlight w:val="white"/>
        </w:rPr>
        <w:t xml:space="preserve"> в пункте 6.8 слова «Уполномоченный орган» заменить аббревиатурой «УВОСиМО»;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1.6.</w:t>
      </w:r>
      <w:r>
        <w:rPr>
          <w:sz w:val="28"/>
          <w:szCs w:val="28"/>
          <w:highlight w:val="white"/>
        </w:rPr>
        <w:t xml:space="preserve"> в пункте 6.9.2 слова «экспертной рабочей группы» заменить словом «комиссии».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образования город Пермь».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13" w:tooltip="&lt;div class=&quot;doc www&quot;&gt;&lt;span class=&quot;aligner&quot;&gt;&lt;div class=&quot;icon listDocWWW-16&quot;&gt;&lt;/div&gt;&lt;/span&gt;www.gorodperm.ru&lt;/div&gt;" w:history="1">
        <w:r>
          <w:rPr>
            <w:rStyle w:val="892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www.gorodperm.ru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5. Контроль за исполнением настоящего постановления возложить на заместителя главы администрации города Перми Трошкова С.В.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Style w:val="875"/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города Перми</w:t>
        <w:tab/>
      </w:r>
      <w:r>
        <w:rPr>
          <w:sz w:val="28"/>
          <w:szCs w:val="28"/>
        </w:rPr>
        <w:tab/>
        <w:tab/>
        <w:tab/>
        <w:tab/>
        <w:tab/>
        <w:tab/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8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rPr>
        <w:rStyle w:val="885"/>
      </w:rPr>
      <w:framePr w:wrap="around" w:vAnchor="text" w:hAnchor="margin" w:xAlign="center" w:y="1"/>
    </w:pPr>
    <w:r>
      <w:rPr>
        <w:rStyle w:val="885"/>
      </w:rPr>
      <w:fldChar w:fldCharType="begin"/>
    </w:r>
    <w:r>
      <w:rPr>
        <w:rStyle w:val="885"/>
      </w:rPr>
      <w:instrText xml:space="preserve">PAGE  </w:instrText>
    </w:r>
    <w:r>
      <w:rPr>
        <w:rStyle w:val="885"/>
      </w:rPr>
      <w:fldChar w:fldCharType="end"/>
    </w:r>
    <w:r>
      <w:rPr>
        <w:rStyle w:val="885"/>
      </w:rPr>
    </w:r>
    <w:r>
      <w:rPr>
        <w:rStyle w:val="885"/>
      </w:rPr>
    </w:r>
  </w:p>
  <w:p>
    <w:pPr>
      <w:pStyle w:val="88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80808"/>
        <w:spacing w:val="-5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80808"/>
        <w:spacing w:val="-5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80808"/>
        <w:spacing w:val="-5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80808"/>
        <w:spacing w:val="-5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80808"/>
        <w:spacing w:val="-5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80808"/>
        <w:spacing w:val="-5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80808"/>
        <w:spacing w:val="-5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80808"/>
        <w:spacing w:val="-5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80808"/>
        <w:spacing w:val="-5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6">
    <w:name w:val="Heading 1 Char"/>
    <w:basedOn w:val="878"/>
    <w:link w:val="876"/>
    <w:uiPriority w:val="9"/>
    <w:rPr>
      <w:rFonts w:ascii="Arial" w:hAnsi="Arial" w:eastAsia="Arial" w:cs="Arial"/>
      <w:sz w:val="40"/>
      <w:szCs w:val="40"/>
    </w:rPr>
  </w:style>
  <w:style w:type="character" w:styleId="707">
    <w:name w:val="Heading 2 Char"/>
    <w:basedOn w:val="878"/>
    <w:link w:val="877"/>
    <w:uiPriority w:val="9"/>
    <w:rPr>
      <w:rFonts w:ascii="Arial" w:hAnsi="Arial" w:eastAsia="Arial" w:cs="Arial"/>
      <w:sz w:val="34"/>
    </w:rPr>
  </w:style>
  <w:style w:type="paragraph" w:styleId="708">
    <w:name w:val="Heading 3"/>
    <w:basedOn w:val="875"/>
    <w:next w:val="875"/>
    <w:link w:val="70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9">
    <w:name w:val="Heading 3 Char"/>
    <w:basedOn w:val="878"/>
    <w:link w:val="708"/>
    <w:uiPriority w:val="9"/>
    <w:rPr>
      <w:rFonts w:ascii="Arial" w:hAnsi="Arial" w:eastAsia="Arial" w:cs="Arial"/>
      <w:sz w:val="30"/>
      <w:szCs w:val="30"/>
    </w:rPr>
  </w:style>
  <w:style w:type="paragraph" w:styleId="710">
    <w:name w:val="Heading 4"/>
    <w:basedOn w:val="875"/>
    <w:next w:val="875"/>
    <w:link w:val="71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1">
    <w:name w:val="Heading 4 Char"/>
    <w:basedOn w:val="878"/>
    <w:link w:val="710"/>
    <w:uiPriority w:val="9"/>
    <w:rPr>
      <w:rFonts w:ascii="Arial" w:hAnsi="Arial" w:eastAsia="Arial" w:cs="Arial"/>
      <w:b/>
      <w:bCs/>
      <w:sz w:val="26"/>
      <w:szCs w:val="26"/>
    </w:rPr>
  </w:style>
  <w:style w:type="paragraph" w:styleId="712">
    <w:name w:val="Heading 5"/>
    <w:basedOn w:val="875"/>
    <w:next w:val="875"/>
    <w:link w:val="71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3">
    <w:name w:val="Heading 5 Char"/>
    <w:basedOn w:val="878"/>
    <w:link w:val="712"/>
    <w:uiPriority w:val="9"/>
    <w:rPr>
      <w:rFonts w:ascii="Arial" w:hAnsi="Arial" w:eastAsia="Arial" w:cs="Arial"/>
      <w:b/>
      <w:bCs/>
      <w:sz w:val="24"/>
      <w:szCs w:val="24"/>
    </w:rPr>
  </w:style>
  <w:style w:type="paragraph" w:styleId="714">
    <w:name w:val="Heading 6"/>
    <w:basedOn w:val="875"/>
    <w:next w:val="875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5">
    <w:name w:val="Heading 6 Char"/>
    <w:basedOn w:val="878"/>
    <w:link w:val="714"/>
    <w:uiPriority w:val="9"/>
    <w:rPr>
      <w:rFonts w:ascii="Arial" w:hAnsi="Arial" w:eastAsia="Arial" w:cs="Arial"/>
      <w:b/>
      <w:bCs/>
      <w:sz w:val="22"/>
      <w:szCs w:val="22"/>
    </w:rPr>
  </w:style>
  <w:style w:type="paragraph" w:styleId="716">
    <w:name w:val="Heading 7"/>
    <w:basedOn w:val="875"/>
    <w:next w:val="875"/>
    <w:link w:val="7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7">
    <w:name w:val="Heading 7 Char"/>
    <w:basedOn w:val="878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875"/>
    <w:next w:val="875"/>
    <w:link w:val="7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9">
    <w:name w:val="Heading 8 Char"/>
    <w:basedOn w:val="878"/>
    <w:link w:val="718"/>
    <w:uiPriority w:val="9"/>
    <w:rPr>
      <w:rFonts w:ascii="Arial" w:hAnsi="Arial" w:eastAsia="Arial" w:cs="Arial"/>
      <w:i/>
      <w:iCs/>
      <w:sz w:val="22"/>
      <w:szCs w:val="22"/>
    </w:rPr>
  </w:style>
  <w:style w:type="paragraph" w:styleId="720">
    <w:name w:val="Heading 9"/>
    <w:basedOn w:val="875"/>
    <w:next w:val="875"/>
    <w:link w:val="72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>
    <w:name w:val="Heading 9 Char"/>
    <w:basedOn w:val="878"/>
    <w:link w:val="720"/>
    <w:uiPriority w:val="9"/>
    <w:rPr>
      <w:rFonts w:ascii="Arial" w:hAnsi="Arial" w:eastAsia="Arial" w:cs="Arial"/>
      <w:i/>
      <w:iCs/>
      <w:sz w:val="21"/>
      <w:szCs w:val="21"/>
    </w:rPr>
  </w:style>
  <w:style w:type="paragraph" w:styleId="722">
    <w:name w:val="Title"/>
    <w:basedOn w:val="875"/>
    <w:next w:val="875"/>
    <w:link w:val="7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3">
    <w:name w:val="Title Char"/>
    <w:basedOn w:val="878"/>
    <w:link w:val="722"/>
    <w:uiPriority w:val="10"/>
    <w:rPr>
      <w:sz w:val="48"/>
      <w:szCs w:val="48"/>
    </w:rPr>
  </w:style>
  <w:style w:type="paragraph" w:styleId="724">
    <w:name w:val="Subtitle"/>
    <w:basedOn w:val="875"/>
    <w:next w:val="875"/>
    <w:link w:val="725"/>
    <w:uiPriority w:val="11"/>
    <w:qFormat/>
    <w:pPr>
      <w:spacing w:before="200" w:after="200"/>
    </w:pPr>
    <w:rPr>
      <w:sz w:val="24"/>
      <w:szCs w:val="24"/>
    </w:rPr>
  </w:style>
  <w:style w:type="character" w:styleId="725">
    <w:name w:val="Subtitle Char"/>
    <w:basedOn w:val="878"/>
    <w:link w:val="724"/>
    <w:uiPriority w:val="11"/>
    <w:rPr>
      <w:sz w:val="24"/>
      <w:szCs w:val="24"/>
    </w:rPr>
  </w:style>
  <w:style w:type="paragraph" w:styleId="726">
    <w:name w:val="Quote"/>
    <w:basedOn w:val="875"/>
    <w:next w:val="875"/>
    <w:link w:val="727"/>
    <w:uiPriority w:val="29"/>
    <w:qFormat/>
    <w:pPr>
      <w:ind w:left="720" w:right="720"/>
    </w:pPr>
    <w:rPr>
      <w:i/>
    </w:rPr>
  </w:style>
  <w:style w:type="character" w:styleId="727">
    <w:name w:val="Quote Char"/>
    <w:link w:val="726"/>
    <w:uiPriority w:val="29"/>
    <w:rPr>
      <w:i/>
    </w:rPr>
  </w:style>
  <w:style w:type="paragraph" w:styleId="728">
    <w:name w:val="Intense Quote"/>
    <w:basedOn w:val="875"/>
    <w:next w:val="875"/>
    <w:link w:val="7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>
    <w:name w:val="Intense Quote Char"/>
    <w:link w:val="728"/>
    <w:uiPriority w:val="30"/>
    <w:rPr>
      <w:i/>
    </w:rPr>
  </w:style>
  <w:style w:type="character" w:styleId="730">
    <w:name w:val="Header Char"/>
    <w:basedOn w:val="878"/>
    <w:link w:val="886"/>
    <w:uiPriority w:val="99"/>
  </w:style>
  <w:style w:type="character" w:styleId="731">
    <w:name w:val="Footer Char"/>
    <w:basedOn w:val="878"/>
    <w:link w:val="884"/>
    <w:uiPriority w:val="99"/>
  </w:style>
  <w:style w:type="character" w:styleId="732">
    <w:name w:val="Caption Char"/>
    <w:basedOn w:val="881"/>
    <w:link w:val="884"/>
    <w:uiPriority w:val="99"/>
  </w:style>
  <w:style w:type="table" w:styleId="733">
    <w:name w:val="Table Grid Light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2">
    <w:name w:val="List Table 7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3">
    <w:name w:val="List Table 7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4">
    <w:name w:val="List Table 7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5">
    <w:name w:val="List Table 7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6">
    <w:name w:val="List Table 7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7">
    <w:name w:val="Lined - Accent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9">
    <w:name w:val="Lined - Accent 2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0">
    <w:name w:val="Lined - Accent 3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1">
    <w:name w:val="Lined - Accent 4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2">
    <w:name w:val="Lined - Accent 5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3">
    <w:name w:val="Lined - Accent 6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4">
    <w:name w:val="Bordered &amp; Lined - Accent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6">
    <w:name w:val="Bordered &amp; Lined - Accent 2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7">
    <w:name w:val="Bordered &amp; Lined - Accent 3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8">
    <w:name w:val="Bordered &amp; Lined - Accent 4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9">
    <w:name w:val="Bordered &amp; Lined - Accent 5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0">
    <w:name w:val="Bordered &amp; Lined - Accent 6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1">
    <w:name w:val="Bordered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8">
    <w:name w:val="footnote text"/>
    <w:basedOn w:val="875"/>
    <w:link w:val="859"/>
    <w:uiPriority w:val="99"/>
    <w:semiHidden/>
    <w:unhideWhenUsed/>
    <w:pPr>
      <w:spacing w:after="40" w:line="240" w:lineRule="auto"/>
    </w:pPr>
    <w:rPr>
      <w:sz w:val="18"/>
    </w:rPr>
  </w:style>
  <w:style w:type="character" w:styleId="859">
    <w:name w:val="Footnote Text Char"/>
    <w:link w:val="858"/>
    <w:uiPriority w:val="99"/>
    <w:rPr>
      <w:sz w:val="18"/>
    </w:rPr>
  </w:style>
  <w:style w:type="character" w:styleId="860">
    <w:name w:val="footnote reference"/>
    <w:basedOn w:val="878"/>
    <w:uiPriority w:val="99"/>
    <w:unhideWhenUsed/>
    <w:rPr>
      <w:vertAlign w:val="superscript"/>
    </w:rPr>
  </w:style>
  <w:style w:type="paragraph" w:styleId="861">
    <w:name w:val="endnote text"/>
    <w:basedOn w:val="875"/>
    <w:link w:val="862"/>
    <w:uiPriority w:val="99"/>
    <w:semiHidden/>
    <w:unhideWhenUsed/>
    <w:pPr>
      <w:spacing w:after="0" w:line="240" w:lineRule="auto"/>
    </w:pPr>
    <w:rPr>
      <w:sz w:val="20"/>
    </w:rPr>
  </w:style>
  <w:style w:type="character" w:styleId="862">
    <w:name w:val="Endnote Text Char"/>
    <w:link w:val="861"/>
    <w:uiPriority w:val="99"/>
    <w:rPr>
      <w:sz w:val="20"/>
    </w:rPr>
  </w:style>
  <w:style w:type="character" w:styleId="863">
    <w:name w:val="endnote reference"/>
    <w:basedOn w:val="878"/>
    <w:uiPriority w:val="99"/>
    <w:semiHidden/>
    <w:unhideWhenUsed/>
    <w:rPr>
      <w:vertAlign w:val="superscript"/>
    </w:rPr>
  </w:style>
  <w:style w:type="paragraph" w:styleId="864">
    <w:name w:val="toc 1"/>
    <w:basedOn w:val="875"/>
    <w:next w:val="875"/>
    <w:uiPriority w:val="39"/>
    <w:unhideWhenUsed/>
    <w:pPr>
      <w:ind w:left="0" w:right="0" w:firstLine="0"/>
      <w:spacing w:after="57"/>
    </w:pPr>
  </w:style>
  <w:style w:type="paragraph" w:styleId="865">
    <w:name w:val="toc 2"/>
    <w:basedOn w:val="875"/>
    <w:next w:val="875"/>
    <w:uiPriority w:val="39"/>
    <w:unhideWhenUsed/>
    <w:pPr>
      <w:ind w:left="283" w:right="0" w:firstLine="0"/>
      <w:spacing w:after="57"/>
    </w:pPr>
  </w:style>
  <w:style w:type="paragraph" w:styleId="866">
    <w:name w:val="toc 3"/>
    <w:basedOn w:val="875"/>
    <w:next w:val="875"/>
    <w:uiPriority w:val="39"/>
    <w:unhideWhenUsed/>
    <w:pPr>
      <w:ind w:left="567" w:right="0" w:firstLine="0"/>
      <w:spacing w:after="57"/>
    </w:pPr>
  </w:style>
  <w:style w:type="paragraph" w:styleId="867">
    <w:name w:val="toc 4"/>
    <w:basedOn w:val="875"/>
    <w:next w:val="875"/>
    <w:uiPriority w:val="39"/>
    <w:unhideWhenUsed/>
    <w:pPr>
      <w:ind w:left="850" w:right="0" w:firstLine="0"/>
      <w:spacing w:after="57"/>
    </w:pPr>
  </w:style>
  <w:style w:type="paragraph" w:styleId="868">
    <w:name w:val="toc 5"/>
    <w:basedOn w:val="875"/>
    <w:next w:val="875"/>
    <w:uiPriority w:val="39"/>
    <w:unhideWhenUsed/>
    <w:pPr>
      <w:ind w:left="1134" w:right="0" w:firstLine="0"/>
      <w:spacing w:after="57"/>
    </w:pPr>
  </w:style>
  <w:style w:type="paragraph" w:styleId="869">
    <w:name w:val="toc 6"/>
    <w:basedOn w:val="875"/>
    <w:next w:val="875"/>
    <w:uiPriority w:val="39"/>
    <w:unhideWhenUsed/>
    <w:pPr>
      <w:ind w:left="1417" w:right="0" w:firstLine="0"/>
      <w:spacing w:after="57"/>
    </w:pPr>
  </w:style>
  <w:style w:type="paragraph" w:styleId="870">
    <w:name w:val="toc 7"/>
    <w:basedOn w:val="875"/>
    <w:next w:val="875"/>
    <w:uiPriority w:val="39"/>
    <w:unhideWhenUsed/>
    <w:pPr>
      <w:ind w:left="1701" w:right="0" w:firstLine="0"/>
      <w:spacing w:after="57"/>
    </w:pPr>
  </w:style>
  <w:style w:type="paragraph" w:styleId="871">
    <w:name w:val="toc 8"/>
    <w:basedOn w:val="875"/>
    <w:next w:val="875"/>
    <w:uiPriority w:val="39"/>
    <w:unhideWhenUsed/>
    <w:pPr>
      <w:ind w:left="1984" w:right="0" w:firstLine="0"/>
      <w:spacing w:after="57"/>
    </w:pPr>
  </w:style>
  <w:style w:type="paragraph" w:styleId="872">
    <w:name w:val="toc 9"/>
    <w:basedOn w:val="875"/>
    <w:next w:val="875"/>
    <w:uiPriority w:val="39"/>
    <w:unhideWhenUsed/>
    <w:pPr>
      <w:ind w:left="2268" w:right="0" w:firstLine="0"/>
      <w:spacing w:after="57"/>
    </w:pPr>
  </w:style>
  <w:style w:type="paragraph" w:styleId="873">
    <w:name w:val="TOC Heading"/>
    <w:uiPriority w:val="39"/>
    <w:unhideWhenUsed/>
  </w:style>
  <w:style w:type="paragraph" w:styleId="874">
    <w:name w:val="table of figures"/>
    <w:basedOn w:val="875"/>
    <w:next w:val="875"/>
    <w:uiPriority w:val="99"/>
    <w:unhideWhenUsed/>
    <w:pPr>
      <w:spacing w:after="0" w:afterAutospacing="0"/>
    </w:pPr>
  </w:style>
  <w:style w:type="paragraph" w:styleId="875" w:default="1">
    <w:name w:val="Normal"/>
    <w:qFormat/>
  </w:style>
  <w:style w:type="paragraph" w:styleId="876">
    <w:name w:val="Heading 1"/>
    <w:basedOn w:val="875"/>
    <w:next w:val="875"/>
    <w:qFormat/>
    <w:pPr>
      <w:ind w:right="-1" w:firstLine="709"/>
      <w:jc w:val="both"/>
      <w:keepNext/>
      <w:outlineLvl w:val="0"/>
    </w:pPr>
    <w:rPr>
      <w:sz w:val="24"/>
    </w:rPr>
  </w:style>
  <w:style w:type="paragraph" w:styleId="877">
    <w:name w:val="Heading 2"/>
    <w:basedOn w:val="875"/>
    <w:next w:val="875"/>
    <w:qFormat/>
    <w:pPr>
      <w:ind w:right="-1"/>
      <w:jc w:val="both"/>
      <w:keepNext/>
      <w:outlineLvl w:val="1"/>
    </w:pPr>
    <w:rPr>
      <w:sz w:val="24"/>
    </w:rPr>
  </w:style>
  <w:style w:type="character" w:styleId="878" w:default="1">
    <w:name w:val="Default Paragraph Font"/>
    <w:semiHidden/>
  </w:style>
  <w:style w:type="table" w:styleId="879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0" w:default="1">
    <w:name w:val="No List"/>
    <w:semiHidden/>
  </w:style>
  <w:style w:type="paragraph" w:styleId="881">
    <w:name w:val="Caption"/>
    <w:basedOn w:val="875"/>
    <w:next w:val="875"/>
    <w:link w:val="732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2">
    <w:name w:val="Body Text"/>
    <w:basedOn w:val="875"/>
    <w:link w:val="910"/>
    <w:pPr>
      <w:ind w:right="3117"/>
    </w:pPr>
    <w:rPr>
      <w:rFonts w:ascii="Courier New" w:hAnsi="Courier New"/>
      <w:sz w:val="26"/>
    </w:rPr>
  </w:style>
  <w:style w:type="paragraph" w:styleId="883">
    <w:name w:val="Body Text Indent"/>
    <w:basedOn w:val="875"/>
    <w:pPr>
      <w:ind w:right="-1"/>
      <w:jc w:val="both"/>
    </w:pPr>
    <w:rPr>
      <w:sz w:val="26"/>
    </w:rPr>
  </w:style>
  <w:style w:type="paragraph" w:styleId="884">
    <w:name w:val="Footer"/>
    <w:basedOn w:val="875"/>
    <w:link w:val="969"/>
    <w:uiPriority w:val="99"/>
    <w:pPr>
      <w:tabs>
        <w:tab w:val="center" w:pos="4153" w:leader="none"/>
        <w:tab w:val="right" w:pos="8306" w:leader="none"/>
      </w:tabs>
    </w:pPr>
  </w:style>
  <w:style w:type="character" w:styleId="885">
    <w:name w:val="page number"/>
    <w:basedOn w:val="878"/>
  </w:style>
  <w:style w:type="paragraph" w:styleId="886">
    <w:name w:val="Header"/>
    <w:basedOn w:val="875"/>
    <w:link w:val="889"/>
    <w:uiPriority w:val="99"/>
    <w:pPr>
      <w:tabs>
        <w:tab w:val="center" w:pos="4153" w:leader="none"/>
        <w:tab w:val="right" w:pos="8306" w:leader="none"/>
      </w:tabs>
    </w:pPr>
  </w:style>
  <w:style w:type="paragraph" w:styleId="887">
    <w:name w:val="Balloon Text"/>
    <w:basedOn w:val="875"/>
    <w:link w:val="888"/>
    <w:uiPriority w:val="99"/>
    <w:rPr>
      <w:rFonts w:ascii="Segoe UI" w:hAnsi="Segoe UI" w:cs="Segoe UI"/>
      <w:sz w:val="18"/>
      <w:szCs w:val="18"/>
    </w:rPr>
  </w:style>
  <w:style w:type="character" w:styleId="888" w:customStyle="1">
    <w:name w:val="Текст выноски Знак"/>
    <w:link w:val="887"/>
    <w:uiPriority w:val="99"/>
    <w:rPr>
      <w:rFonts w:ascii="Segoe UI" w:hAnsi="Segoe UI" w:cs="Segoe UI"/>
      <w:sz w:val="18"/>
      <w:szCs w:val="18"/>
    </w:rPr>
  </w:style>
  <w:style w:type="character" w:styleId="889" w:customStyle="1">
    <w:name w:val="Верхний колонтитул Знак"/>
    <w:link w:val="886"/>
    <w:uiPriority w:val="99"/>
  </w:style>
  <w:style w:type="numbering" w:styleId="890" w:customStyle="1">
    <w:name w:val="Нет списка1"/>
    <w:next w:val="880"/>
    <w:uiPriority w:val="99"/>
    <w:semiHidden/>
    <w:unhideWhenUsed/>
  </w:style>
  <w:style w:type="paragraph" w:styleId="891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2">
    <w:name w:val="Hyperlink"/>
    <w:uiPriority w:val="99"/>
    <w:unhideWhenUsed/>
    <w:rPr>
      <w:color w:val="0000ff"/>
      <w:u w:val="single"/>
    </w:rPr>
  </w:style>
  <w:style w:type="character" w:styleId="893">
    <w:name w:val="FollowedHyperlink"/>
    <w:uiPriority w:val="99"/>
    <w:unhideWhenUsed/>
    <w:rPr>
      <w:color w:val="800080"/>
      <w:u w:val="single"/>
    </w:rPr>
  </w:style>
  <w:style w:type="paragraph" w:styleId="894" w:customStyle="1">
    <w:name w:val="xl65"/>
    <w:basedOn w:val="87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5" w:customStyle="1">
    <w:name w:val="xl66"/>
    <w:basedOn w:val="87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6" w:customStyle="1">
    <w:name w:val="xl67"/>
    <w:basedOn w:val="87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7" w:customStyle="1">
    <w:name w:val="xl68"/>
    <w:basedOn w:val="87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8" w:customStyle="1">
    <w:name w:val="xl69"/>
    <w:basedOn w:val="87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9" w:customStyle="1">
    <w:name w:val="xl70"/>
    <w:basedOn w:val="87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0" w:customStyle="1">
    <w:name w:val="xl71"/>
    <w:basedOn w:val="87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2"/>
    <w:basedOn w:val="87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3"/>
    <w:basedOn w:val="87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4"/>
    <w:basedOn w:val="87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5"/>
    <w:basedOn w:val="87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6"/>
    <w:basedOn w:val="87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7"/>
    <w:basedOn w:val="875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78"/>
    <w:basedOn w:val="87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xl79"/>
    <w:basedOn w:val="87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9" w:customStyle="1">
    <w:name w:val="Форма"/>
    <w:rPr>
      <w:sz w:val="28"/>
      <w:szCs w:val="28"/>
    </w:rPr>
  </w:style>
  <w:style w:type="character" w:styleId="910" w:customStyle="1">
    <w:name w:val="Основной текст Знак"/>
    <w:link w:val="882"/>
    <w:rPr>
      <w:rFonts w:ascii="Courier New" w:hAnsi="Courier New"/>
      <w:sz w:val="26"/>
    </w:rPr>
  </w:style>
  <w:style w:type="paragraph" w:styleId="911" w:customStyle="1">
    <w:name w:val="ConsPlusNormal"/>
    <w:rPr>
      <w:sz w:val="28"/>
      <w:szCs w:val="28"/>
    </w:rPr>
  </w:style>
  <w:style w:type="numbering" w:styleId="912" w:customStyle="1">
    <w:name w:val="Нет списка11"/>
    <w:next w:val="880"/>
    <w:uiPriority w:val="99"/>
    <w:semiHidden/>
    <w:unhideWhenUsed/>
  </w:style>
  <w:style w:type="numbering" w:styleId="913" w:customStyle="1">
    <w:name w:val="Нет списка111"/>
    <w:next w:val="880"/>
    <w:uiPriority w:val="99"/>
    <w:semiHidden/>
    <w:unhideWhenUsed/>
  </w:style>
  <w:style w:type="paragraph" w:styleId="914" w:customStyle="1">
    <w:name w:val="font5"/>
    <w:basedOn w:val="875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5" w:customStyle="1">
    <w:name w:val="xl80"/>
    <w:basedOn w:val="87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6" w:customStyle="1">
    <w:name w:val="xl81"/>
    <w:basedOn w:val="87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7" w:customStyle="1">
    <w:name w:val="xl82"/>
    <w:basedOn w:val="875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8">
    <w:name w:val="Table Grid"/>
    <w:basedOn w:val="879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9" w:customStyle="1">
    <w:name w:val="xl83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84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85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2" w:customStyle="1">
    <w:name w:val="xl86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3" w:customStyle="1">
    <w:name w:val="xl87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4" w:customStyle="1">
    <w:name w:val="xl88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5" w:customStyle="1">
    <w:name w:val="xl89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0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7" w:customStyle="1">
    <w:name w:val="xl91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92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9" w:customStyle="1">
    <w:name w:val="xl93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4"/>
    <w:basedOn w:val="875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5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6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97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98"/>
    <w:basedOn w:val="87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5" w:customStyle="1">
    <w:name w:val="xl99"/>
    <w:basedOn w:val="875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6" w:customStyle="1">
    <w:name w:val="xl100"/>
    <w:basedOn w:val="87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1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2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3"/>
    <w:basedOn w:val="87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4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5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6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7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08"/>
    <w:basedOn w:val="87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09"/>
    <w:basedOn w:val="87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0"/>
    <w:basedOn w:val="87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11"/>
    <w:basedOn w:val="87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12"/>
    <w:basedOn w:val="875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9" w:customStyle="1">
    <w:name w:val="xl113"/>
    <w:basedOn w:val="87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14"/>
    <w:basedOn w:val="87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15"/>
    <w:basedOn w:val="875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2" w:customStyle="1">
    <w:name w:val="xl116"/>
    <w:basedOn w:val="87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7"/>
    <w:basedOn w:val="875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18"/>
    <w:basedOn w:val="875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19"/>
    <w:basedOn w:val="87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20"/>
    <w:basedOn w:val="87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7" w:customStyle="1">
    <w:name w:val="xl121"/>
    <w:basedOn w:val="87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8" w:customStyle="1">
    <w:name w:val="xl122"/>
    <w:basedOn w:val="87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23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0" w:customStyle="1">
    <w:name w:val="xl124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1" w:customStyle="1">
    <w:name w:val="xl125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2" w:customStyle="1">
    <w:name w:val="Нет списка2"/>
    <w:next w:val="880"/>
    <w:uiPriority w:val="99"/>
    <w:semiHidden/>
    <w:unhideWhenUsed/>
  </w:style>
  <w:style w:type="numbering" w:styleId="963" w:customStyle="1">
    <w:name w:val="Нет списка3"/>
    <w:next w:val="880"/>
    <w:uiPriority w:val="99"/>
    <w:semiHidden/>
    <w:unhideWhenUsed/>
  </w:style>
  <w:style w:type="paragraph" w:styleId="964" w:customStyle="1">
    <w:name w:val="font6"/>
    <w:basedOn w:val="87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5" w:customStyle="1">
    <w:name w:val="font7"/>
    <w:basedOn w:val="87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6" w:customStyle="1">
    <w:name w:val="font8"/>
    <w:basedOn w:val="87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7" w:customStyle="1">
    <w:name w:val="Нет списка4"/>
    <w:next w:val="880"/>
    <w:uiPriority w:val="99"/>
    <w:semiHidden/>
    <w:unhideWhenUsed/>
  </w:style>
  <w:style w:type="paragraph" w:styleId="968">
    <w:name w:val="List Paragraph"/>
    <w:basedOn w:val="87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9" w:customStyle="1">
    <w:name w:val="Нижний колонтитул Знак"/>
    <w:link w:val="884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hyperlink" Target="http://www.gorodper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20</cp:revision>
  <dcterms:created xsi:type="dcterms:W3CDTF">2024-10-25T06:26:00Z</dcterms:created>
  <dcterms:modified xsi:type="dcterms:W3CDTF">2025-09-23T07:18:05Z</dcterms:modified>
</cp:coreProperties>
</file>