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46494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46494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307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1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4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4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15.3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2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307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4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4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1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14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4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14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4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5526" w:firstLine="0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О внесении изменений в </w:t>
      </w:r>
      <w:r>
        <w:rPr>
          <w:b/>
          <w:sz w:val="28"/>
          <w:szCs w:val="28"/>
          <w:highlight w:val="none"/>
        </w:rPr>
        <w:t xml:space="preserve">постановление </w:t>
      </w:r>
      <w:r>
        <w:rPr>
          <w:b/>
          <w:sz w:val="28"/>
          <w:szCs w:val="28"/>
          <w:highlight w:val="none"/>
        </w:rPr>
        <w:t xml:space="preserve">администрации города Перми </w:t>
      </w:r>
      <w:r>
        <w:rPr>
          <w:b/>
          <w:sz w:val="28"/>
          <w:szCs w:val="28"/>
          <w:highlight w:val="none"/>
        </w:rPr>
        <w:t xml:space="preserve">от 30.08.2024 № 711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5385" w:firstLine="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</w:t>
      </w:r>
      <w:r>
        <w:rPr>
          <w:b/>
          <w:sz w:val="28"/>
          <w:szCs w:val="28"/>
        </w:rPr>
        <w:t xml:space="preserve">етодик</w:t>
      </w: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расчета нормативных затрат </w:t>
      </w:r>
      <w:r>
        <w:rPr>
          <w:b/>
          <w:sz w:val="28"/>
          <w:szCs w:val="28"/>
        </w:rPr>
        <w:t xml:space="preserve">на выполнение муниципальн</w:t>
      </w:r>
      <w:r>
        <w:rPr>
          <w:b/>
          <w:sz w:val="28"/>
          <w:szCs w:val="28"/>
        </w:rPr>
        <w:t xml:space="preserve">ой </w:t>
      </w:r>
      <w:r>
        <w:rPr>
          <w:b/>
          <w:sz w:val="28"/>
          <w:szCs w:val="28"/>
        </w:rPr>
        <w:t xml:space="preserve">услуги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«Оказание услуг, предусмотренных гарантированным перечнем услуг по погребению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услуг </w:t>
      </w:r>
      <w:r>
        <w:rPr>
          <w:b/>
          <w:sz w:val="28"/>
          <w:szCs w:val="28"/>
        </w:rPr>
        <w:t xml:space="preserve">по погребению </w:t>
      </w:r>
      <w:r>
        <w:rPr>
          <w:b/>
          <w:sz w:val="28"/>
          <w:szCs w:val="28"/>
        </w:rPr>
        <w:t xml:space="preserve">погибших (умерших)</w:t>
      </w:r>
      <w:r>
        <w:rPr>
          <w:b/>
          <w:sz w:val="28"/>
          <w:szCs w:val="28"/>
        </w:rPr>
        <w:t xml:space="preserve">, не имеющих супруга, близких родственников, иных родственников </w:t>
      </w:r>
      <w:r>
        <w:rPr>
          <w:b/>
          <w:sz w:val="28"/>
          <w:szCs w:val="28"/>
        </w:rPr>
        <w:t xml:space="preserve">либо законного представителя умершего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в городе Перми»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нормативных затрат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4"/>
        <w:ind w:left="0" w:right="5526" w:firstLine="0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на содержание 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униципального имущества, уплату налогов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4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4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"consultantplus://offline/ref=7AB9D403C77A2E863F43769B516C6427D840B318A5F160FF0A213F7F0725CA4887251D37BEAA71864E3D9538B9BD218F4FB371EA77F5BA74h5A3E"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69.2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ции,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</w:t>
      </w:r>
      <w:r>
        <w:rPr>
          <w:sz w:val="28"/>
          <w:szCs w:val="28"/>
        </w:rPr>
        <w:t xml:space="preserve">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12</w:t>
      </w:r>
      <w:r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1996 </w:t>
      </w:r>
      <w:r>
        <w:rPr>
          <w:sz w:val="28"/>
          <w:szCs w:val="28"/>
        </w:rPr>
        <w:t xml:space="preserve">г. №</w:t>
      </w:r>
      <w:r>
        <w:rPr>
          <w:sz w:val="28"/>
          <w:szCs w:val="28"/>
        </w:rPr>
        <w:t xml:space="preserve"> 8-ФЗ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погребении и похоро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ном деле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 г. № 131-ФЗ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зации местного самоуправления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рации </w:t>
      </w:r>
      <w:r>
        <w:rPr>
          <w:sz w:val="28"/>
          <w:szCs w:val="28"/>
        </w:rPr>
        <w:t xml:space="preserve">от 28 ноября 2017 г. № 1596/пр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Общих требований к определ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 нормативных затрат на оказание государственных (муниципал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ных) услуг </w:t>
      </w:r>
      <w:r>
        <w:rPr>
          <w:sz w:val="28"/>
          <w:szCs w:val="28"/>
        </w:rPr>
        <w:t xml:space="preserve">в сфере жилищно-коммунального хозяйства, благоустройства, градостроительной деятельности, строительства и архитектуры, применяемых при расчете объема субсидии на финансовое обеспечение выполнения государственного (муниц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пального) задания на оказание государственных (муниципальных) услуг (выпо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нение работ) государственным (муниципальным) учреждением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города Перми, </w:t>
      </w:r>
      <w:r>
        <w:rPr>
          <w:sz w:val="28"/>
          <w:szCs w:val="28"/>
        </w:rPr>
        <w:t xml:space="preserve">решением Пермской городской Думы от 28 августа 2007 г. № 185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Положения о бюджете и бюджетном процессе в городе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постановлением администрации города Перми от 30 ноября 2007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502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рядке формирования, размещения, финансового обеспечения и контроля выпо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нения муниципального задания на оказание муниципальных у</w:t>
      </w:r>
      <w:r>
        <w:rPr>
          <w:sz w:val="28"/>
          <w:szCs w:val="28"/>
        </w:rPr>
        <w:t xml:space="preserve">слуг (выпо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нение работ)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постановление администрации города Перми </w:t>
      </w:r>
      <w:r>
        <w:rPr>
          <w:sz w:val="28"/>
          <w:szCs w:val="28"/>
        </w:rPr>
        <w:t xml:space="preserve">от 30.08.2024 г. № 711 «Об утверждении Методики</w:t>
      </w:r>
      <w:r>
        <w:rPr>
          <w:sz w:val="28"/>
          <w:szCs w:val="28"/>
        </w:rPr>
        <w:t xml:space="preserve"> расчета нормативных затрат на 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полнение муниципально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Оказание услуг, предусмотренных гарантир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ванным перечнем услуг по погребению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услуг по погребению </w:t>
      </w:r>
      <w:r>
        <w:rPr>
          <w:sz w:val="28"/>
          <w:szCs w:val="28"/>
        </w:rPr>
        <w:t xml:space="preserve">погибших (уме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ших)</w:t>
      </w:r>
      <w:r>
        <w:rPr>
          <w:sz w:val="28"/>
          <w:szCs w:val="28"/>
        </w:rPr>
        <w:t xml:space="preserve">, не имеющих супруга, близких родственников, иных родственников либо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конного представителя умершего, в городе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 нормативных затрат на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держание муниципального имущества, уплату налогов»</w:t>
      </w:r>
      <w:r>
        <w:rPr>
          <w:sz w:val="28"/>
          <w:szCs w:val="28"/>
        </w:rPr>
        <w:t xml:space="preserve">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1.1.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наименование данного постановления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«Об утверждении Методики</w:t>
      </w:r>
      <w:r>
        <w:rPr>
          <w:sz w:val="28"/>
          <w:szCs w:val="28"/>
        </w:rPr>
        <w:t xml:space="preserve"> расчета нормативных затрат на 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полнение муниципально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Оказание услуг, предусмотренных гарантир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ванным перечнем услуг по погребению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услуг по погребению </w:t>
      </w:r>
      <w:r>
        <w:rPr>
          <w:sz w:val="28"/>
          <w:szCs w:val="28"/>
        </w:rPr>
        <w:t xml:space="preserve">погибших (уме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ших)</w:t>
      </w:r>
      <w:r>
        <w:rPr>
          <w:sz w:val="28"/>
          <w:szCs w:val="28"/>
        </w:rPr>
        <w:t xml:space="preserve">, не имеющих супруга, близких родственников, иных родственников либо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конного представителя умершего, в городе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 нормативных затрат на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держание муниципального имущества»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1.2. в абзаце первом пункта 1.3. слова «уплату налогов»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1.3.  абзац второй пункта 3.2.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</w:rPr>
        <w:tab/>
        <w:t xml:space="preserve">«R = N x V</w:t>
      </w:r>
      <w:r>
        <w:rPr>
          <w:sz w:val="28"/>
          <w:szCs w:val="28"/>
          <w:highlight w:val="none"/>
          <w:vertAlign w:val="subscript"/>
        </w:rPr>
        <w:t xml:space="preserve">i</w:t>
      </w:r>
      <w:r>
        <w:rPr>
          <w:sz w:val="28"/>
          <w:szCs w:val="28"/>
          <w:highlight w:val="none"/>
          <w:vertAlign w:val="baseline"/>
        </w:rPr>
        <w:t xml:space="preserve"> – D</w:t>
      </w:r>
      <w:r>
        <w:rPr>
          <w:sz w:val="28"/>
          <w:szCs w:val="28"/>
          <w:highlight w:val="none"/>
          <w:vertAlign w:val="subscript"/>
        </w:rPr>
        <w:t xml:space="preserve">возм </w:t>
      </w:r>
      <w:r>
        <w:rPr>
          <w:sz w:val="28"/>
          <w:szCs w:val="28"/>
          <w:highlight w:val="none"/>
          <w:vertAlign w:val="baseline"/>
        </w:rPr>
        <w:t xml:space="preserve">+ N</w:t>
      </w:r>
      <w:r>
        <w:rPr>
          <w:sz w:val="28"/>
          <w:szCs w:val="28"/>
          <w:highlight w:val="none"/>
          <w:vertAlign w:val="superscript"/>
        </w:rPr>
        <w:t xml:space="preserve">си </w:t>
      </w:r>
      <w:r>
        <w:rPr>
          <w:sz w:val="28"/>
          <w:szCs w:val="28"/>
          <w:highlight w:val="none"/>
          <w:vertAlign w:val="baseline"/>
        </w:rPr>
        <w:t xml:space="preserve">, где»;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left="0" w:firstLine="0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ab/>
        <w:t xml:space="preserve">1.4. абзац шестой пункта 3.2. признать утратившим силу;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left="0" w:firstLine="0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ab/>
        <w:t xml:space="preserve">1.5. абзац второй пункта 3.6. признать утратившим силу;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left="0" w:firstLine="0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ab/>
        <w:t xml:space="preserve">1.6. наименование раздела 5 изложить в следующей 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left="0" w:firstLine="0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ab/>
        <w:t xml:space="preserve">«Порядок расчета затрат на содержание муниципального имущества»;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left="0" w:firstLine="0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ab/>
        <w:t xml:space="preserve">1.7. пункт 5.2. признать утратившим силу.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 01 января 2026 г., </w:t>
      </w:r>
      <w:r>
        <w:rPr>
          <w:sz w:val="28"/>
          <w:szCs w:val="28"/>
        </w:rPr>
        <w:t xml:space="preserve">но не ранее дня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в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</w:t>
      </w:r>
      <w:r>
        <w:rPr>
          <w:sz w:val="28"/>
          <w:szCs w:val="28"/>
        </w:rPr>
        <w:t xml:space="preserve">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Галихан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 Д.К.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spacing w:line="240" w:lineRule="exact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  <w:tab/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5" w:h="16838" w:orient="portrait"/>
      <w:pgMar w:top="1134" w:right="567" w:bottom="1134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162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6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2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8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84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9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6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4"/>
    <w:next w:val="914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4"/>
    <w:next w:val="914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4"/>
    <w:next w:val="914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4"/>
    <w:next w:val="91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4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4"/>
    <w:next w:val="914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link w:val="756"/>
    <w:uiPriority w:val="10"/>
    <w:rPr>
      <w:sz w:val="48"/>
      <w:szCs w:val="48"/>
    </w:rPr>
  </w:style>
  <w:style w:type="paragraph" w:styleId="758">
    <w:name w:val="Subtitle"/>
    <w:basedOn w:val="914"/>
    <w:next w:val="914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link w:val="758"/>
    <w:uiPriority w:val="11"/>
    <w:rPr>
      <w:sz w:val="24"/>
      <w:szCs w:val="24"/>
    </w:rPr>
  </w:style>
  <w:style w:type="paragraph" w:styleId="760">
    <w:name w:val="Quote"/>
    <w:basedOn w:val="914"/>
    <w:next w:val="914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4"/>
    <w:next w:val="914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paragraph" w:styleId="764">
    <w:name w:val="Header"/>
    <w:basedOn w:val="914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Header Char"/>
    <w:link w:val="764"/>
    <w:uiPriority w:val="99"/>
  </w:style>
  <w:style w:type="paragraph" w:styleId="766">
    <w:name w:val="Footer"/>
    <w:basedOn w:val="914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Footer Char"/>
    <w:link w:val="766"/>
    <w:uiPriority w:val="99"/>
  </w:style>
  <w:style w:type="paragraph" w:styleId="768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768"/>
    <w:link w:val="766"/>
    <w:uiPriority w:val="99"/>
  </w:style>
  <w:style w:type="table" w:styleId="7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000ff" w:themeColor="hyperlink"/>
      <w:u w:val="single"/>
    </w:r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next w:val="914"/>
    <w:link w:val="914"/>
    <w:qFormat/>
    <w:rPr>
      <w:lang w:val="ru-RU" w:eastAsia="ru-RU" w:bidi="ar-SA"/>
    </w:rPr>
  </w:style>
  <w:style w:type="paragraph" w:styleId="915">
    <w:name w:val="Заголовок 1"/>
    <w:basedOn w:val="914"/>
    <w:next w:val="914"/>
    <w:link w:val="1015"/>
    <w:qFormat/>
    <w:pPr>
      <w:ind w:right="-1" w:firstLine="709"/>
      <w:jc w:val="both"/>
      <w:keepNext/>
      <w:outlineLvl w:val="0"/>
    </w:pPr>
    <w:rPr>
      <w:sz w:val="24"/>
    </w:rPr>
  </w:style>
  <w:style w:type="paragraph" w:styleId="916">
    <w:name w:val="Заголовок 2"/>
    <w:basedOn w:val="914"/>
    <w:next w:val="914"/>
    <w:link w:val="1016"/>
    <w:qFormat/>
    <w:pPr>
      <w:ind w:right="-1"/>
      <w:jc w:val="both"/>
      <w:keepNext/>
      <w:outlineLvl w:val="1"/>
    </w:pPr>
    <w:rPr>
      <w:sz w:val="24"/>
    </w:rPr>
  </w:style>
  <w:style w:type="character" w:styleId="917">
    <w:name w:val="Основной шрифт абзаца"/>
    <w:next w:val="917"/>
    <w:link w:val="914"/>
    <w:semiHidden/>
  </w:style>
  <w:style w:type="table" w:styleId="918">
    <w:name w:val="Обычная таблица"/>
    <w:next w:val="918"/>
    <w:link w:val="914"/>
    <w:semiHidden/>
    <w:tblPr/>
  </w:style>
  <w:style w:type="numbering" w:styleId="919">
    <w:name w:val="Нет списка"/>
    <w:next w:val="919"/>
    <w:link w:val="914"/>
    <w:semiHidden/>
  </w:style>
  <w:style w:type="paragraph" w:styleId="920">
    <w:name w:val="Название объекта"/>
    <w:basedOn w:val="914"/>
    <w:next w:val="914"/>
    <w:link w:val="91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1">
    <w:name w:val="Основной текст"/>
    <w:basedOn w:val="914"/>
    <w:next w:val="921"/>
    <w:link w:val="949"/>
    <w:pPr>
      <w:ind w:right="3117"/>
    </w:pPr>
    <w:rPr>
      <w:rFonts w:ascii="Courier New" w:hAnsi="Courier New"/>
      <w:sz w:val="26"/>
      <w:lang w:val="en-US" w:eastAsia="en-US"/>
    </w:rPr>
  </w:style>
  <w:style w:type="paragraph" w:styleId="922">
    <w:name w:val="Основной текст с отступом"/>
    <w:basedOn w:val="914"/>
    <w:next w:val="922"/>
    <w:link w:val="1017"/>
    <w:pPr>
      <w:ind w:right="-1"/>
      <w:jc w:val="both"/>
    </w:pPr>
    <w:rPr>
      <w:sz w:val="26"/>
    </w:rPr>
  </w:style>
  <w:style w:type="paragraph" w:styleId="923">
    <w:name w:val="Нижний колонтитул"/>
    <w:basedOn w:val="914"/>
    <w:next w:val="923"/>
    <w:link w:val="1008"/>
    <w:uiPriority w:val="99"/>
    <w:pPr>
      <w:tabs>
        <w:tab w:val="center" w:pos="4153" w:leader="none"/>
        <w:tab w:val="right" w:pos="8306" w:leader="none"/>
      </w:tabs>
    </w:pPr>
  </w:style>
  <w:style w:type="character" w:styleId="924">
    <w:name w:val="Номер страницы"/>
    <w:basedOn w:val="917"/>
    <w:next w:val="924"/>
    <w:link w:val="914"/>
  </w:style>
  <w:style w:type="paragraph" w:styleId="925">
    <w:name w:val="Верхний колонтитул"/>
    <w:basedOn w:val="914"/>
    <w:next w:val="925"/>
    <w:link w:val="928"/>
    <w:uiPriority w:val="99"/>
    <w:pPr>
      <w:tabs>
        <w:tab w:val="center" w:pos="4153" w:leader="none"/>
        <w:tab w:val="right" w:pos="8306" w:leader="none"/>
      </w:tabs>
    </w:pPr>
  </w:style>
  <w:style w:type="paragraph" w:styleId="926">
    <w:name w:val="Текст выноски"/>
    <w:basedOn w:val="914"/>
    <w:next w:val="926"/>
    <w:link w:val="927"/>
    <w:uiPriority w:val="99"/>
    <w:rPr>
      <w:rFonts w:ascii="Segoe UI" w:hAnsi="Segoe UI"/>
      <w:sz w:val="18"/>
      <w:szCs w:val="18"/>
      <w:lang w:val="en-US" w:eastAsia="en-US"/>
    </w:rPr>
  </w:style>
  <w:style w:type="character" w:styleId="927">
    <w:name w:val="Текст выноски Знак"/>
    <w:next w:val="927"/>
    <w:link w:val="926"/>
    <w:uiPriority w:val="99"/>
    <w:rPr>
      <w:rFonts w:ascii="Segoe UI" w:hAnsi="Segoe UI" w:cs="Segoe UI"/>
      <w:sz w:val="18"/>
      <w:szCs w:val="18"/>
    </w:rPr>
  </w:style>
  <w:style w:type="character" w:styleId="928">
    <w:name w:val="Верхний колонтитул Знак"/>
    <w:next w:val="928"/>
    <w:link w:val="925"/>
    <w:uiPriority w:val="99"/>
  </w:style>
  <w:style w:type="numbering" w:styleId="929">
    <w:name w:val="Нет списка1"/>
    <w:next w:val="919"/>
    <w:link w:val="914"/>
    <w:uiPriority w:val="99"/>
    <w:semiHidden/>
    <w:unhideWhenUsed/>
  </w:style>
  <w:style w:type="paragraph" w:styleId="930">
    <w:name w:val="Без интервала"/>
    <w:next w:val="930"/>
    <w:link w:val="91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31">
    <w:name w:val="Гиперссылка"/>
    <w:next w:val="931"/>
    <w:link w:val="914"/>
    <w:uiPriority w:val="99"/>
    <w:unhideWhenUsed/>
    <w:rPr>
      <w:color w:val="0000ff"/>
      <w:u w:val="single"/>
    </w:rPr>
  </w:style>
  <w:style w:type="character" w:styleId="932">
    <w:name w:val="Просмотренная гиперссылка"/>
    <w:next w:val="932"/>
    <w:link w:val="914"/>
    <w:uiPriority w:val="99"/>
    <w:unhideWhenUsed/>
    <w:rPr>
      <w:color w:val="800080"/>
      <w:u w:val="single"/>
    </w:rPr>
  </w:style>
  <w:style w:type="paragraph" w:styleId="933">
    <w:name w:val="xl65"/>
    <w:basedOn w:val="914"/>
    <w:next w:val="933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>
    <w:name w:val="xl66"/>
    <w:basedOn w:val="914"/>
    <w:next w:val="934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>
    <w:name w:val="xl67"/>
    <w:basedOn w:val="914"/>
    <w:next w:val="935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>
    <w:name w:val="xl68"/>
    <w:basedOn w:val="914"/>
    <w:next w:val="936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7">
    <w:name w:val="xl69"/>
    <w:basedOn w:val="914"/>
    <w:next w:val="937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>
    <w:name w:val="xl70"/>
    <w:basedOn w:val="914"/>
    <w:next w:val="938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9">
    <w:name w:val="xl71"/>
    <w:basedOn w:val="914"/>
    <w:next w:val="939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>
    <w:name w:val="xl72"/>
    <w:basedOn w:val="914"/>
    <w:next w:val="940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>
    <w:name w:val="xl73"/>
    <w:basedOn w:val="914"/>
    <w:next w:val="941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2">
    <w:name w:val="xl74"/>
    <w:basedOn w:val="914"/>
    <w:next w:val="942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>
    <w:name w:val="xl75"/>
    <w:basedOn w:val="914"/>
    <w:next w:val="943"/>
    <w:link w:val="91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>
    <w:name w:val="xl76"/>
    <w:basedOn w:val="914"/>
    <w:next w:val="944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5">
    <w:name w:val="xl77"/>
    <w:basedOn w:val="914"/>
    <w:next w:val="945"/>
    <w:link w:val="91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>
    <w:name w:val="xl78"/>
    <w:basedOn w:val="914"/>
    <w:next w:val="946"/>
    <w:link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7">
    <w:name w:val="xl79"/>
    <w:basedOn w:val="914"/>
    <w:next w:val="947"/>
    <w:link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>
    <w:name w:val="Форма"/>
    <w:next w:val="948"/>
    <w:link w:val="914"/>
    <w:rPr>
      <w:sz w:val="28"/>
      <w:szCs w:val="28"/>
      <w:lang w:val="ru-RU" w:eastAsia="ru-RU" w:bidi="ar-SA"/>
    </w:rPr>
  </w:style>
  <w:style w:type="character" w:styleId="949">
    <w:name w:val="Основной текст Знак"/>
    <w:next w:val="949"/>
    <w:link w:val="921"/>
    <w:rPr>
      <w:rFonts w:ascii="Courier New" w:hAnsi="Courier New"/>
      <w:sz w:val="26"/>
    </w:rPr>
  </w:style>
  <w:style w:type="paragraph" w:styleId="950">
    <w:name w:val="ConsPlusNormal"/>
    <w:next w:val="950"/>
    <w:link w:val="914"/>
    <w:rPr>
      <w:sz w:val="28"/>
      <w:szCs w:val="28"/>
      <w:lang w:val="ru-RU" w:eastAsia="ru-RU" w:bidi="ar-SA"/>
    </w:rPr>
  </w:style>
  <w:style w:type="numbering" w:styleId="951">
    <w:name w:val="Нет списка11"/>
    <w:next w:val="919"/>
    <w:link w:val="914"/>
    <w:uiPriority w:val="99"/>
    <w:semiHidden/>
    <w:unhideWhenUsed/>
  </w:style>
  <w:style w:type="numbering" w:styleId="952">
    <w:name w:val="Нет списка111"/>
    <w:next w:val="919"/>
    <w:link w:val="914"/>
    <w:uiPriority w:val="99"/>
    <w:semiHidden/>
    <w:unhideWhenUsed/>
  </w:style>
  <w:style w:type="paragraph" w:styleId="953">
    <w:name w:val="font5"/>
    <w:basedOn w:val="914"/>
    <w:next w:val="953"/>
    <w:link w:val="91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4">
    <w:name w:val="xl80"/>
    <w:basedOn w:val="914"/>
    <w:next w:val="954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5">
    <w:name w:val="xl81"/>
    <w:basedOn w:val="914"/>
    <w:next w:val="955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6">
    <w:name w:val="xl82"/>
    <w:basedOn w:val="914"/>
    <w:next w:val="956"/>
    <w:link w:val="91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7">
    <w:name w:val="Сетка таблицы"/>
    <w:basedOn w:val="918"/>
    <w:next w:val="957"/>
    <w:link w:val="914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8">
    <w:name w:val="xl83"/>
    <w:basedOn w:val="914"/>
    <w:next w:val="958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>
    <w:name w:val="xl84"/>
    <w:basedOn w:val="914"/>
    <w:next w:val="959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>
    <w:name w:val="xl85"/>
    <w:basedOn w:val="914"/>
    <w:next w:val="960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>
    <w:name w:val="xl86"/>
    <w:basedOn w:val="914"/>
    <w:next w:val="961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>
    <w:name w:val="xl87"/>
    <w:basedOn w:val="914"/>
    <w:next w:val="962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3">
    <w:name w:val="xl88"/>
    <w:basedOn w:val="914"/>
    <w:next w:val="963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4">
    <w:name w:val="xl89"/>
    <w:basedOn w:val="914"/>
    <w:next w:val="964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>
    <w:name w:val="xl90"/>
    <w:basedOn w:val="914"/>
    <w:next w:val="965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>
    <w:name w:val="xl91"/>
    <w:basedOn w:val="914"/>
    <w:next w:val="966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>
    <w:name w:val="xl92"/>
    <w:basedOn w:val="914"/>
    <w:next w:val="967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>
    <w:name w:val="xl93"/>
    <w:basedOn w:val="914"/>
    <w:next w:val="968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>
    <w:name w:val="xl94"/>
    <w:basedOn w:val="914"/>
    <w:next w:val="969"/>
    <w:link w:val="91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>
    <w:name w:val="xl95"/>
    <w:basedOn w:val="914"/>
    <w:next w:val="970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>
    <w:name w:val="xl96"/>
    <w:basedOn w:val="914"/>
    <w:next w:val="971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>
    <w:name w:val="xl97"/>
    <w:basedOn w:val="914"/>
    <w:next w:val="972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>
    <w:name w:val="xl98"/>
    <w:basedOn w:val="914"/>
    <w:next w:val="973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4">
    <w:name w:val="xl99"/>
    <w:basedOn w:val="914"/>
    <w:next w:val="974"/>
    <w:link w:val="91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>
    <w:name w:val="xl100"/>
    <w:basedOn w:val="914"/>
    <w:next w:val="975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01"/>
    <w:basedOn w:val="914"/>
    <w:next w:val="976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02"/>
    <w:basedOn w:val="914"/>
    <w:next w:val="977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03"/>
    <w:basedOn w:val="914"/>
    <w:next w:val="978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04"/>
    <w:basedOn w:val="914"/>
    <w:next w:val="979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05"/>
    <w:basedOn w:val="914"/>
    <w:next w:val="980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06"/>
    <w:basedOn w:val="914"/>
    <w:next w:val="981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2">
    <w:name w:val="xl107"/>
    <w:basedOn w:val="914"/>
    <w:next w:val="982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08"/>
    <w:basedOn w:val="914"/>
    <w:next w:val="983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09"/>
    <w:basedOn w:val="914"/>
    <w:next w:val="984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10"/>
    <w:basedOn w:val="914"/>
    <w:next w:val="985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11"/>
    <w:basedOn w:val="914"/>
    <w:next w:val="986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12"/>
    <w:basedOn w:val="914"/>
    <w:next w:val="987"/>
    <w:link w:val="91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8">
    <w:name w:val="xl113"/>
    <w:basedOn w:val="914"/>
    <w:next w:val="988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14"/>
    <w:basedOn w:val="914"/>
    <w:next w:val="989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15"/>
    <w:basedOn w:val="914"/>
    <w:next w:val="990"/>
    <w:link w:val="91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1">
    <w:name w:val="xl116"/>
    <w:basedOn w:val="914"/>
    <w:next w:val="991"/>
    <w:link w:val="9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>
    <w:name w:val="xl117"/>
    <w:basedOn w:val="914"/>
    <w:next w:val="992"/>
    <w:link w:val="91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>
    <w:name w:val="xl118"/>
    <w:basedOn w:val="914"/>
    <w:next w:val="993"/>
    <w:link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>
    <w:name w:val="xl119"/>
    <w:basedOn w:val="914"/>
    <w:next w:val="994"/>
    <w:link w:val="91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>
    <w:name w:val="xl120"/>
    <w:basedOn w:val="914"/>
    <w:next w:val="995"/>
    <w:link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>
    <w:name w:val="xl121"/>
    <w:basedOn w:val="914"/>
    <w:next w:val="996"/>
    <w:link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>
    <w:name w:val="xl122"/>
    <w:basedOn w:val="914"/>
    <w:next w:val="997"/>
    <w:link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>
    <w:name w:val="xl123"/>
    <w:basedOn w:val="914"/>
    <w:next w:val="998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>
    <w:name w:val="xl124"/>
    <w:basedOn w:val="914"/>
    <w:next w:val="999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>
    <w:name w:val="xl125"/>
    <w:basedOn w:val="914"/>
    <w:next w:val="1000"/>
    <w:link w:val="9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1">
    <w:name w:val="Нет списка2"/>
    <w:next w:val="919"/>
    <w:link w:val="914"/>
    <w:uiPriority w:val="99"/>
    <w:semiHidden/>
    <w:unhideWhenUsed/>
  </w:style>
  <w:style w:type="numbering" w:styleId="1002">
    <w:name w:val="Нет списка3"/>
    <w:next w:val="919"/>
    <w:link w:val="914"/>
    <w:uiPriority w:val="99"/>
    <w:semiHidden/>
    <w:unhideWhenUsed/>
  </w:style>
  <w:style w:type="paragraph" w:styleId="1003">
    <w:name w:val="font6"/>
    <w:basedOn w:val="914"/>
    <w:next w:val="1003"/>
    <w:link w:val="9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4">
    <w:name w:val="font7"/>
    <w:basedOn w:val="914"/>
    <w:next w:val="1004"/>
    <w:link w:val="9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5">
    <w:name w:val="font8"/>
    <w:basedOn w:val="914"/>
    <w:next w:val="1005"/>
    <w:link w:val="91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6">
    <w:name w:val="Нет списка4"/>
    <w:next w:val="919"/>
    <w:link w:val="914"/>
    <w:uiPriority w:val="99"/>
    <w:semiHidden/>
    <w:unhideWhenUsed/>
  </w:style>
  <w:style w:type="paragraph" w:styleId="1007">
    <w:name w:val="Абзац списка"/>
    <w:basedOn w:val="914"/>
    <w:next w:val="1007"/>
    <w:link w:val="91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08">
    <w:name w:val="Нижний колонтитул Знак"/>
    <w:next w:val="1008"/>
    <w:link w:val="923"/>
    <w:uiPriority w:val="99"/>
  </w:style>
  <w:style w:type="character" w:styleId="1009">
    <w:name w:val="Знак примечания"/>
    <w:next w:val="1009"/>
    <w:link w:val="914"/>
    <w:rPr>
      <w:sz w:val="16"/>
      <w:szCs w:val="16"/>
    </w:rPr>
  </w:style>
  <w:style w:type="paragraph" w:styleId="1010">
    <w:name w:val="Текст примечания"/>
    <w:basedOn w:val="914"/>
    <w:next w:val="1010"/>
    <w:link w:val="1011"/>
  </w:style>
  <w:style w:type="character" w:styleId="1011">
    <w:name w:val="Текст примечания Знак"/>
    <w:basedOn w:val="917"/>
    <w:next w:val="1011"/>
    <w:link w:val="1010"/>
  </w:style>
  <w:style w:type="paragraph" w:styleId="1012">
    <w:name w:val="Тема примечания"/>
    <w:basedOn w:val="1010"/>
    <w:next w:val="1010"/>
    <w:link w:val="1013"/>
    <w:rPr>
      <w:b/>
      <w:bCs/>
      <w:lang w:val="en-US" w:eastAsia="en-US"/>
    </w:rPr>
  </w:style>
  <w:style w:type="character" w:styleId="1013">
    <w:name w:val="Тема примечания Знак"/>
    <w:next w:val="1013"/>
    <w:link w:val="1012"/>
    <w:rPr>
      <w:b/>
      <w:bCs/>
    </w:rPr>
  </w:style>
  <w:style w:type="paragraph" w:styleId="1014">
    <w:name w:val="Рецензия"/>
    <w:next w:val="1014"/>
    <w:link w:val="914"/>
    <w:hidden/>
    <w:uiPriority w:val="99"/>
    <w:semiHidden/>
    <w:rPr>
      <w:lang w:val="ru-RU" w:eastAsia="ru-RU" w:bidi="ar-SA"/>
    </w:rPr>
  </w:style>
  <w:style w:type="character" w:styleId="1015">
    <w:name w:val="Заголовок 1 Знак"/>
    <w:next w:val="1015"/>
    <w:link w:val="915"/>
    <w:rPr>
      <w:sz w:val="24"/>
    </w:rPr>
  </w:style>
  <w:style w:type="character" w:styleId="1016">
    <w:name w:val="Заголовок 2 Знак"/>
    <w:next w:val="1016"/>
    <w:link w:val="916"/>
    <w:rPr>
      <w:sz w:val="24"/>
    </w:rPr>
  </w:style>
  <w:style w:type="character" w:styleId="1017">
    <w:name w:val="Основной текст с отступом Знак"/>
    <w:next w:val="1017"/>
    <w:link w:val="922"/>
    <w:rPr>
      <w:sz w:val="26"/>
    </w:rPr>
  </w:style>
  <w:style w:type="character" w:styleId="1018" w:default="1">
    <w:name w:val="Default Paragraph Font"/>
    <w:uiPriority w:val="1"/>
    <w:semiHidden/>
    <w:unhideWhenUsed/>
  </w:style>
  <w:style w:type="numbering" w:styleId="1019" w:default="1">
    <w:name w:val="No List"/>
    <w:uiPriority w:val="99"/>
    <w:semiHidden/>
    <w:unhideWhenUsed/>
  </w:style>
  <w:style w:type="table" w:styleId="10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shumilova-yan</cp:lastModifiedBy>
  <cp:revision>25</cp:revision>
  <dcterms:created xsi:type="dcterms:W3CDTF">2024-08-14T14:28:00Z</dcterms:created>
  <dcterms:modified xsi:type="dcterms:W3CDTF">2025-09-26T07:44:47Z</dcterms:modified>
  <cp:version>917504</cp:version>
</cp:coreProperties>
</file>