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2934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2934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2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102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3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2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91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92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1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91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01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92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102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3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2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91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92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91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91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91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2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spacing w:line="239" w:lineRule="exact"/>
        <w:rPr>
          <w:b/>
          <w:bCs/>
          <w:color w:val="0d0d0d" w:themeColor="text1" w:themeTint="F2"/>
          <w:sz w:val="28"/>
          <w:szCs w:val="28"/>
          <w:highlight w:val="none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О внесении изменений в постановление</w:t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  <w:r>
        <w:rPr>
          <w:b/>
          <w:bCs/>
          <w:color w:val="0d0d0d" w:themeColor="text1" w:themeTint="F2"/>
          <w:sz w:val="28"/>
          <w:szCs w:val="28"/>
          <w:highlight w:val="none"/>
        </w:rPr>
      </w:r>
    </w:p>
    <w:p>
      <w:pPr>
        <w:jc w:val="both"/>
        <w:spacing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  <w:highlight w:val="none"/>
        </w:rPr>
        <w:t xml:space="preserve">администрации города Перми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от 04.10.2022 г. </w:t>
      </w:r>
      <w:r>
        <w:rPr>
          <w:b/>
          <w:bCs/>
          <w:color w:val="0d0d0d" w:themeColor="text1" w:themeTint="F2"/>
          <w:sz w:val="28"/>
          <w:szCs w:val="28"/>
        </w:rPr>
        <w:t xml:space="preserve">№</w:t>
      </w:r>
      <w:r>
        <w:rPr>
          <w:b/>
          <w:bCs/>
          <w:color w:val="0d0d0d" w:themeColor="text1" w:themeTint="F2"/>
          <w:sz w:val="28"/>
          <w:szCs w:val="28"/>
        </w:rPr>
        <w:t xml:space="preserve"> 897 </w:t>
      </w:r>
      <w:r>
        <w:rPr>
          <w:b/>
          <w:bCs/>
          <w:color w:val="0d0d0d" w:themeColor="text1" w:themeTint="F2"/>
          <w:sz w:val="28"/>
          <w:szCs w:val="28"/>
        </w:rPr>
        <w:t xml:space="preserve">«</w:t>
      </w:r>
      <w:r>
        <w:rPr>
          <w:b/>
          <w:bCs/>
          <w:color w:val="0d0d0d" w:themeColor="text1" w:themeTint="F2"/>
          <w:sz w:val="28"/>
          <w:szCs w:val="28"/>
        </w:rPr>
        <w:t xml:space="preserve">Об утверждении </w:t>
      </w:r>
      <w:r>
        <w:rPr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Методики расчета </w:t>
      </w:r>
      <w:r>
        <w:rPr>
          <w:b/>
          <w:bCs/>
          <w:color w:val="0d0d0d" w:themeColor="text1" w:themeTint="F2"/>
          <w:sz w:val="28"/>
          <w:szCs w:val="28"/>
        </w:rPr>
        <w:t xml:space="preserve">нормативных затрат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  <w:t xml:space="preserve">«</w:t>
      </w:r>
      <w:r>
        <w:rPr>
          <w:b/>
          <w:bCs/>
          <w:color w:val="0d0d0d" w:themeColor="text1" w:themeTint="F2"/>
          <w:sz w:val="28"/>
          <w:szCs w:val="28"/>
        </w:rPr>
        <w:t xml:space="preserve">Организация </w:t>
      </w:r>
      <w:r>
        <w:rPr>
          <w:b/>
          <w:bCs/>
          <w:color w:val="0d0d0d" w:themeColor="text1" w:themeTint="F2"/>
          <w:sz w:val="28"/>
          <w:szCs w:val="28"/>
        </w:rPr>
        <w:t xml:space="preserve">освещения территории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города Перми</w:t>
      </w:r>
      <w:r>
        <w:rPr>
          <w:b/>
          <w:bCs/>
          <w:color w:val="0d0d0d" w:themeColor="text1" w:themeTint="F2"/>
          <w:sz w:val="28"/>
          <w:szCs w:val="28"/>
        </w:rPr>
        <w:t xml:space="preserve">, </w:t>
      </w:r>
      <w:r>
        <w:rPr>
          <w:b/>
          <w:bCs/>
          <w:color w:val="0d0d0d" w:themeColor="text1" w:themeTint="F2"/>
          <w:sz w:val="28"/>
          <w:szCs w:val="28"/>
        </w:rPr>
        <w:t xml:space="preserve">включая архитектурную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подсветку зданий,</w:t>
      </w:r>
      <w:r>
        <w:rPr>
          <w:b/>
          <w:bCs/>
          <w:color w:val="0d0d0d" w:themeColor="text1" w:themeTint="F2"/>
          <w:sz w:val="28"/>
          <w:szCs w:val="28"/>
        </w:rPr>
        <w:t xml:space="preserve">строений, сооружений»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  <w:t xml:space="preserve">и нормативных </w:t>
      </w:r>
      <w:r>
        <w:rPr>
          <w:b/>
          <w:bCs/>
          <w:color w:val="0d0d0d" w:themeColor="text1" w:themeTint="F2"/>
          <w:sz w:val="28"/>
          <w:szCs w:val="28"/>
        </w:rPr>
        <w:t xml:space="preserve">затрат на содержание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  <w:t xml:space="preserve">муниципального </w:t>
      </w:r>
      <w:r>
        <w:rPr>
          <w:b/>
          <w:bCs/>
          <w:color w:val="0d0d0d" w:themeColor="text1" w:themeTint="F2"/>
          <w:sz w:val="28"/>
          <w:szCs w:val="28"/>
        </w:rPr>
        <w:t xml:space="preserve">имущества, уплату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налогов</w:t>
      </w:r>
      <w:r>
        <w:rPr>
          <w:b/>
          <w:bCs/>
          <w:color w:val="0d0d0d" w:themeColor="text1" w:themeTint="F2"/>
          <w:sz w:val="28"/>
          <w:szCs w:val="28"/>
        </w:rPr>
        <w:t xml:space="preserve"> и о признании </w:t>
      </w:r>
      <w:r>
        <w:rPr>
          <w:b/>
          <w:bCs/>
          <w:color w:val="0d0d0d" w:themeColor="text1" w:themeTint="F2"/>
          <w:sz w:val="28"/>
          <w:szCs w:val="28"/>
        </w:rPr>
        <w:t xml:space="preserve">утратившими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силу отдельных </w:t>
      </w:r>
      <w:r>
        <w:rPr>
          <w:b/>
          <w:bCs/>
          <w:color w:val="0d0d0d" w:themeColor="text1" w:themeTint="F2"/>
          <w:sz w:val="28"/>
          <w:szCs w:val="28"/>
        </w:rPr>
        <w:t xml:space="preserve">правовых </w:t>
      </w:r>
      <w:r>
        <w:rPr>
          <w:b/>
          <w:bCs/>
          <w:color w:val="0d0d0d" w:themeColor="text1" w:themeTint="F2"/>
          <w:sz w:val="28"/>
          <w:szCs w:val="28"/>
        </w:rPr>
        <w:t xml:space="preserve">актов в сфере 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1022"/>
        <w:jc w:val="both"/>
        <w:spacing w:before="0" w:beforeAutospacing="0" w:after="0" w:afterAutospacing="0" w:line="239" w:lineRule="exact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благоустройства</w:t>
      </w:r>
      <w:r>
        <w:rPr>
          <w:b/>
          <w:bCs/>
          <w:color w:val="0d0d0d" w:themeColor="text1" w:themeTint="F2"/>
          <w:sz w:val="28"/>
          <w:szCs w:val="28"/>
        </w:rPr>
        <w:t xml:space="preserve">»</w:t>
      </w:r>
      <w:r>
        <w:rPr>
          <w:b/>
          <w:bCs/>
          <w:color w:val="0d0d0d" w:themeColor="text1" w:themeTint="F2"/>
          <w:sz w:val="28"/>
          <w:szCs w:val="28"/>
        </w:rPr>
      </w:r>
      <w:r>
        <w:rPr>
          <w:b/>
          <w:bCs/>
          <w:color w:val="0d0d0d" w:themeColor="text1" w:themeTint="F2"/>
          <w:sz w:val="28"/>
          <w:szCs w:val="28"/>
        </w:rPr>
      </w:r>
    </w:p>
    <w:p>
      <w:pPr>
        <w:pStyle w:val="918"/>
        <w:jc w:val="both"/>
        <w:spacing w:line="240" w:lineRule="exac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"consultantplus://offline/ref=7AB9D403C77A2E863F43769B516C6427D840B318A5F160FF0A213F7F0725CA4887251D37BEAA71864E3D9538B9BD218F4FB371EA77F5BA74h5A3E"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69.2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Бюджетного кодекса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ции, </w:t>
      </w:r>
      <w:r>
        <w:rPr>
          <w:sz w:val="28"/>
          <w:szCs w:val="28"/>
        </w:rPr>
        <w:t xml:space="preserve">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ральн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6 октября 2003</w:t>
      </w:r>
      <w:r>
        <w:rPr>
          <w:sz w:val="28"/>
          <w:szCs w:val="28"/>
        </w:rPr>
        <w:t xml:space="preserve"> г. № 131-ФЗ «Об общих принципах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ганизации местного самоуправления в Российской Федерации», </w:t>
      </w:r>
      <w:r>
        <w:rPr>
          <w:sz w:val="28"/>
          <w:szCs w:val="28"/>
        </w:rPr>
        <w:t xml:space="preserve">приказом Мин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стерства строительства и жилищно-коммунального хозяйства Российской Фед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рации от 28 ноября 2017 г</w:t>
      </w:r>
      <w:r>
        <w:rPr>
          <w:sz w:val="28"/>
          <w:szCs w:val="28"/>
        </w:rPr>
        <w:t xml:space="preserve">. № 1596/пр «</w:t>
      </w:r>
      <w:r>
        <w:rPr>
          <w:sz w:val="28"/>
          <w:szCs w:val="28"/>
        </w:rPr>
        <w:t xml:space="preserve">Об утверждении Общих т</w:t>
      </w:r>
      <w:r>
        <w:rPr>
          <w:sz w:val="28"/>
          <w:szCs w:val="28"/>
        </w:rPr>
        <w:t xml:space="preserve">ребований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к определению нормативных затрат на оказание государственных (муниципал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ных) услуг в сфере жилищно-коммунального хозяйства, благоустройства, град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строительной деятельности, строительства и архитектуры, применяемых при ра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чете объема субсидии на финансовое обеспечение выполнения государств</w:t>
      </w:r>
      <w:r>
        <w:rPr>
          <w:sz w:val="28"/>
          <w:szCs w:val="28"/>
        </w:rPr>
        <w:t xml:space="preserve">енного (м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города Перми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решением Пермской городской Думы от 28 авгу</w:t>
      </w:r>
      <w:r>
        <w:rPr>
          <w:sz w:val="28"/>
          <w:szCs w:val="28"/>
        </w:rPr>
        <w:t xml:space="preserve">ста 2007 г. </w:t>
      </w:r>
      <w:r>
        <w:rPr>
          <w:sz w:val="28"/>
          <w:szCs w:val="28"/>
        </w:rPr>
        <w:t xml:space="preserve">№ 185 «</w:t>
      </w:r>
      <w:r>
        <w:rPr>
          <w:sz w:val="28"/>
          <w:szCs w:val="28"/>
        </w:rPr>
        <w:t xml:space="preserve">Об утверждении Положения </w:t>
        <w:br/>
        <w:t xml:space="preserve">о бюджете и бюджетном процессе в городе Пе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ми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постановлением администрации города Перми от 30 ноября 2007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502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рядке формирования, размещения, финансового обеспечения и контроля 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нения муниципального задания на оказание муниципальных у</w:t>
      </w:r>
      <w:r>
        <w:rPr>
          <w:sz w:val="28"/>
          <w:szCs w:val="28"/>
        </w:rPr>
        <w:t xml:space="preserve">слуг (выпо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нение работ)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firstLine="720"/>
        <w:jc w:val="both"/>
        <w:rPr>
          <w:highlight w:val="none"/>
        </w:rPr>
      </w:pPr>
      <w:r>
        <w:t xml:space="preserve">1. </w:t>
      </w:r>
      <w:r>
        <w:t xml:space="preserve">Внести изменения в постановление администрации города Перми от 04 октября 2022 г. № 897 «Об утверждении Методики расчета нормативных затрат на выполнение муниципальной работы «Организац</w:t>
      </w:r>
      <w:r>
        <w:t xml:space="preserve">ия освещения территории города Перми, включая архитектурную подсветку зданий, строений, сооружен</w:t>
      </w:r>
      <w:r>
        <w:t xml:space="preserve">ий» и нормативных затрат на содержание муниципального имущества, уплату налогов и о признании утратившими силу отдельных правовых актов в сфере благоустройства» (в ред. от 02.12.2022 № 1229, от 29.12.2022 № 1418, </w:t>
        <w:br/>
        <w:t xml:space="preserve">от 29.09.2023 № 924),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1.1. наименование данного постановления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</w:r>
      <w:r>
        <w:t xml:space="preserve">«Об утверждении Методики расчета нормативных затрат на выполнение муниципальной работы «Организац</w:t>
      </w:r>
      <w:r>
        <w:t xml:space="preserve">ия освещения территории города Перми, включая архитектурную подсветку зданий, строений, сооружен</w:t>
      </w:r>
      <w:r>
        <w:t xml:space="preserve">ий» и нормативных затрат на содержание муниципального имущества и о признании утратившими силу отдельных правовых актов в сфере благоустройства»</w:t>
      </w:r>
      <w:r>
        <w:rPr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1.2. в пункте 1 слова «уплату налогов»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1.3. в пункте 2 слова «уплату налогов» исключить;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</w:rPr>
      </w:pPr>
      <w:r>
        <w:rPr>
          <w:highlight w:val="none"/>
        </w:rPr>
        <w:t xml:space="preserve">1.4. абзац второй пункта 3.2.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</w:rPr>
        <w:t xml:space="preserve">«R</w:t>
      </w:r>
      <w:r>
        <w:rPr>
          <w:highlight w:val="none"/>
          <w:vertAlign w:val="subscript"/>
        </w:rPr>
        <w:t xml:space="preserve">(ОНО) </w:t>
      </w:r>
      <w:r>
        <w:rPr>
          <w:highlight w:val="none"/>
          <w:vertAlign w:val="baseline"/>
        </w:rPr>
        <w:t xml:space="preserve">= (N</w:t>
      </w:r>
      <w:r>
        <w:rPr>
          <w:highlight w:val="none"/>
          <w:vertAlign w:val="subscript"/>
        </w:rPr>
        <w:t xml:space="preserve">(СНО) </w:t>
      </w:r>
      <w:r>
        <w:rPr>
          <w:highlight w:val="none"/>
          <w:vertAlign w:val="baseline"/>
        </w:rPr>
        <w:t xml:space="preserve">х V</w:t>
      </w:r>
      <w:r>
        <w:rPr>
          <w:highlight w:val="none"/>
          <w:vertAlign w:val="subscript"/>
        </w:rPr>
        <w:t xml:space="preserve">(СНО)i </w:t>
      </w:r>
      <w:r>
        <w:rPr>
          <w:highlight w:val="none"/>
          <w:vertAlign w:val="baseline"/>
        </w:rPr>
        <w:t xml:space="preserve">+ N</w:t>
      </w:r>
      <w:r>
        <w:rPr>
          <w:highlight w:val="none"/>
          <w:vertAlign w:val="subscript"/>
        </w:rPr>
        <w:t xml:space="preserve">(ОЭ) </w:t>
      </w:r>
      <w:r>
        <w:rPr>
          <w:highlight w:val="none"/>
          <w:vertAlign w:val="baseline"/>
        </w:rPr>
        <w:t xml:space="preserve">х V</w:t>
      </w:r>
      <w:r>
        <w:rPr>
          <w:highlight w:val="none"/>
          <w:vertAlign w:val="subscript"/>
        </w:rPr>
        <w:t xml:space="preserve">(ОЭ)i</w:t>
      </w:r>
      <w:r>
        <w:rPr>
          <w:highlight w:val="none"/>
          <w:vertAlign w:val="baseline"/>
        </w:rPr>
        <w:t xml:space="preserve">) – D</w:t>
      </w:r>
      <w:r>
        <w:rPr>
          <w:highlight w:val="none"/>
          <w:vertAlign w:val="subscript"/>
        </w:rPr>
        <w:t xml:space="preserve">пд </w:t>
      </w:r>
      <w:r>
        <w:rPr>
          <w:highlight w:val="none"/>
          <w:vertAlign w:val="baseline"/>
        </w:rPr>
        <w:t xml:space="preserve">+ N</w:t>
      </w:r>
      <w:r>
        <w:rPr>
          <w:highlight w:val="none"/>
          <w:vertAlign w:val="superscript"/>
        </w:rPr>
        <w:t xml:space="preserve">СИ</w:t>
      </w:r>
      <w:r>
        <w:rPr>
          <w:highlight w:val="none"/>
          <w:vertAlign w:val="baseline"/>
        </w:rPr>
        <w:t xml:space="preserve">, где»;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1.5. абзац восьмой пункта 3.2 признать утратившим силу;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1.</w:t>
      </w:r>
      <w:r>
        <w:rPr>
          <w:highlight w:val="none"/>
        </w:rPr>
        <w:t xml:space="preserve">6. абзац второй пункта 3.6. </w:t>
      </w:r>
      <w:r>
        <w:rPr>
          <w:highlight w:val="none"/>
          <w:vertAlign w:val="baseline"/>
        </w:rPr>
        <w:t xml:space="preserve">признать утратившим силу;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1.7. наименование раздела 5 изложить в следующей редакции: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«Порядок расчета затрат на содержание муниципального имущества»;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54"/>
        <w:ind w:firstLine="720"/>
        <w:jc w:val="both"/>
        <w:rPr>
          <w:highlight w:val="none"/>
          <w:vertAlign w:val="baseline"/>
        </w:rPr>
      </w:pPr>
      <w:r>
        <w:rPr>
          <w:highlight w:val="none"/>
          <w:vertAlign w:val="baseline"/>
        </w:rPr>
        <w:t xml:space="preserve">1.8. пункт 5.2. признать утратившим силу.</w:t>
      </w:r>
      <w:r>
        <w:rPr>
          <w:highlight w:val="none"/>
          <w:vertAlign w:val="baseline"/>
        </w:rPr>
      </w:r>
      <w:r>
        <w:rPr>
          <w:highlight w:val="none"/>
          <w:vertAlign w:val="baseline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постановление вступает в силу с 01 января 2026 г., </w:t>
      </w:r>
      <w:r>
        <w:rPr>
          <w:sz w:val="28"/>
          <w:szCs w:val="28"/>
        </w:rPr>
        <w:t xml:space="preserve">но не ранее дня официального опубликования </w:t>
      </w:r>
      <w:r>
        <w:rPr>
          <w:sz w:val="28"/>
          <w:szCs w:val="28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Управлению по общим вопросам администрации города Перми обесп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чить обнародование настоящего постановления посредством официального опу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вания в печатно</w:t>
      </w:r>
      <w:r>
        <w:rPr>
          <w:sz w:val="28"/>
          <w:szCs w:val="28"/>
        </w:rPr>
        <w:t xml:space="preserve">м средстве массовой информации «</w:t>
      </w:r>
      <w:r>
        <w:rPr>
          <w:sz w:val="28"/>
          <w:szCs w:val="28"/>
        </w:rPr>
        <w:t xml:space="preserve">Официальный бюллетень 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циального о</w:t>
      </w:r>
      <w:r>
        <w:rPr>
          <w:sz w:val="28"/>
          <w:szCs w:val="28"/>
        </w:rPr>
        <w:t xml:space="preserve">публикования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главы администрации города Перми Галихан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ва Д.К.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8"/>
        <w:spacing w:line="240" w:lineRule="exact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</w:t>
        <w:tab/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954"/>
        <w:ind w:lef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5" w:h="16838" w:orient="portrait"/>
      <w:pgMar w:top="1134" w:right="567" w:bottom="1134" w:left="1418" w:header="0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2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2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9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9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8"/>
    <w:next w:val="918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8"/>
    <w:next w:val="918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8"/>
    <w:next w:val="918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8"/>
    <w:next w:val="918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8"/>
    <w:next w:val="918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8"/>
    <w:next w:val="918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8"/>
    <w:next w:val="918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8"/>
    <w:next w:val="918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8"/>
    <w:next w:val="918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8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before="0" w:after="0" w:line="240" w:lineRule="auto"/>
    </w:pPr>
  </w:style>
  <w:style w:type="paragraph" w:styleId="760">
    <w:name w:val="Title"/>
    <w:basedOn w:val="918"/>
    <w:next w:val="918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>
    <w:name w:val="Title Char"/>
    <w:link w:val="760"/>
    <w:uiPriority w:val="10"/>
    <w:rPr>
      <w:sz w:val="48"/>
      <w:szCs w:val="48"/>
    </w:rPr>
  </w:style>
  <w:style w:type="paragraph" w:styleId="762">
    <w:name w:val="Subtitle"/>
    <w:basedOn w:val="918"/>
    <w:next w:val="918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link w:val="762"/>
    <w:uiPriority w:val="11"/>
    <w:rPr>
      <w:sz w:val="24"/>
      <w:szCs w:val="24"/>
    </w:rPr>
  </w:style>
  <w:style w:type="paragraph" w:styleId="764">
    <w:name w:val="Quote"/>
    <w:basedOn w:val="918"/>
    <w:next w:val="918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8"/>
    <w:next w:val="918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918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Header Char"/>
    <w:link w:val="768"/>
    <w:uiPriority w:val="99"/>
  </w:style>
  <w:style w:type="paragraph" w:styleId="770">
    <w:name w:val="Footer"/>
    <w:basedOn w:val="918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Footer Char"/>
    <w:link w:val="770"/>
    <w:uiPriority w:val="99"/>
  </w:style>
  <w:style w:type="paragraph" w:styleId="772">
    <w:name w:val="Caption"/>
    <w:basedOn w:val="918"/>
    <w:next w:val="9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770"/>
    <w:uiPriority w:val="99"/>
  </w:style>
  <w:style w:type="table" w:styleId="77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0">
    <w:name w:val="Hyperlink"/>
    <w:uiPriority w:val="99"/>
    <w:unhideWhenUsed/>
    <w:rPr>
      <w:color w:val="0000ff" w:themeColor="hyperlink"/>
      <w:u w:val="single"/>
    </w:rPr>
  </w:style>
  <w:style w:type="paragraph" w:styleId="901">
    <w:name w:val="footnote text"/>
    <w:basedOn w:val="918"/>
    <w:link w:val="902"/>
    <w:uiPriority w:val="99"/>
    <w:semiHidden/>
    <w:unhideWhenUsed/>
    <w:pPr>
      <w:spacing w:after="40" w:line="240" w:lineRule="auto"/>
    </w:pPr>
    <w:rPr>
      <w:sz w:val="18"/>
    </w:rPr>
  </w:style>
  <w:style w:type="character" w:styleId="902">
    <w:name w:val="Footnote Text Char"/>
    <w:link w:val="901"/>
    <w:uiPriority w:val="99"/>
    <w:rPr>
      <w:sz w:val="18"/>
    </w:rPr>
  </w:style>
  <w:style w:type="character" w:styleId="903">
    <w:name w:val="footnote reference"/>
    <w:uiPriority w:val="99"/>
    <w:unhideWhenUsed/>
    <w:rPr>
      <w:vertAlign w:val="superscript"/>
    </w:rPr>
  </w:style>
  <w:style w:type="paragraph" w:styleId="904">
    <w:name w:val="endnote text"/>
    <w:basedOn w:val="918"/>
    <w:link w:val="905"/>
    <w:uiPriority w:val="99"/>
    <w:semiHidden/>
    <w:unhideWhenUsed/>
    <w:pPr>
      <w:spacing w:after="0" w:line="240" w:lineRule="auto"/>
    </w:pPr>
    <w:rPr>
      <w:sz w:val="20"/>
    </w:rPr>
  </w:style>
  <w:style w:type="character" w:styleId="905">
    <w:name w:val="Endnote Text Char"/>
    <w:link w:val="904"/>
    <w:uiPriority w:val="99"/>
    <w:rPr>
      <w:sz w:val="20"/>
    </w:rPr>
  </w:style>
  <w:style w:type="character" w:styleId="906">
    <w:name w:val="endnote reference"/>
    <w:uiPriority w:val="99"/>
    <w:semiHidden/>
    <w:unhideWhenUsed/>
    <w:rPr>
      <w:vertAlign w:val="superscript"/>
    </w:rPr>
  </w:style>
  <w:style w:type="paragraph" w:styleId="907">
    <w:name w:val="toc 1"/>
    <w:basedOn w:val="918"/>
    <w:next w:val="918"/>
    <w:uiPriority w:val="39"/>
    <w:unhideWhenUsed/>
    <w:pPr>
      <w:ind w:left="0" w:right="0" w:firstLine="0"/>
      <w:spacing w:after="57"/>
    </w:pPr>
  </w:style>
  <w:style w:type="paragraph" w:styleId="908">
    <w:name w:val="toc 2"/>
    <w:basedOn w:val="918"/>
    <w:next w:val="918"/>
    <w:uiPriority w:val="39"/>
    <w:unhideWhenUsed/>
    <w:pPr>
      <w:ind w:left="283" w:right="0" w:firstLine="0"/>
      <w:spacing w:after="57"/>
    </w:pPr>
  </w:style>
  <w:style w:type="paragraph" w:styleId="909">
    <w:name w:val="toc 3"/>
    <w:basedOn w:val="918"/>
    <w:next w:val="918"/>
    <w:uiPriority w:val="39"/>
    <w:unhideWhenUsed/>
    <w:pPr>
      <w:ind w:left="567" w:right="0" w:firstLine="0"/>
      <w:spacing w:after="57"/>
    </w:pPr>
  </w:style>
  <w:style w:type="paragraph" w:styleId="910">
    <w:name w:val="toc 4"/>
    <w:basedOn w:val="918"/>
    <w:next w:val="918"/>
    <w:uiPriority w:val="39"/>
    <w:unhideWhenUsed/>
    <w:pPr>
      <w:ind w:left="850" w:right="0" w:firstLine="0"/>
      <w:spacing w:after="57"/>
    </w:pPr>
  </w:style>
  <w:style w:type="paragraph" w:styleId="911">
    <w:name w:val="toc 5"/>
    <w:basedOn w:val="918"/>
    <w:next w:val="918"/>
    <w:uiPriority w:val="39"/>
    <w:unhideWhenUsed/>
    <w:pPr>
      <w:ind w:left="1134" w:right="0" w:firstLine="0"/>
      <w:spacing w:after="57"/>
    </w:pPr>
  </w:style>
  <w:style w:type="paragraph" w:styleId="912">
    <w:name w:val="toc 6"/>
    <w:basedOn w:val="918"/>
    <w:next w:val="918"/>
    <w:uiPriority w:val="39"/>
    <w:unhideWhenUsed/>
    <w:pPr>
      <w:ind w:left="1417" w:right="0" w:firstLine="0"/>
      <w:spacing w:after="57"/>
    </w:pPr>
  </w:style>
  <w:style w:type="paragraph" w:styleId="913">
    <w:name w:val="toc 7"/>
    <w:basedOn w:val="918"/>
    <w:next w:val="918"/>
    <w:uiPriority w:val="39"/>
    <w:unhideWhenUsed/>
    <w:pPr>
      <w:ind w:left="1701" w:right="0" w:firstLine="0"/>
      <w:spacing w:after="57"/>
    </w:pPr>
  </w:style>
  <w:style w:type="paragraph" w:styleId="914">
    <w:name w:val="toc 8"/>
    <w:basedOn w:val="918"/>
    <w:next w:val="918"/>
    <w:uiPriority w:val="39"/>
    <w:unhideWhenUsed/>
    <w:pPr>
      <w:ind w:left="1984" w:right="0" w:firstLine="0"/>
      <w:spacing w:after="57"/>
    </w:pPr>
  </w:style>
  <w:style w:type="paragraph" w:styleId="915">
    <w:name w:val="toc 9"/>
    <w:basedOn w:val="918"/>
    <w:next w:val="918"/>
    <w:uiPriority w:val="39"/>
    <w:unhideWhenUsed/>
    <w:pPr>
      <w:ind w:left="2268" w:right="0" w:firstLine="0"/>
      <w:spacing w:after="57"/>
    </w:pPr>
  </w:style>
  <w:style w:type="paragraph" w:styleId="916">
    <w:name w:val="TOC Heading"/>
    <w:uiPriority w:val="39"/>
    <w:unhideWhenUsed/>
  </w:style>
  <w:style w:type="paragraph" w:styleId="917">
    <w:name w:val="table of figures"/>
    <w:basedOn w:val="918"/>
    <w:next w:val="918"/>
    <w:uiPriority w:val="99"/>
    <w:unhideWhenUsed/>
    <w:pPr>
      <w:spacing w:after="0" w:afterAutospacing="0"/>
    </w:pPr>
  </w:style>
  <w:style w:type="paragraph" w:styleId="918" w:default="1">
    <w:name w:val="Normal"/>
    <w:next w:val="918"/>
    <w:link w:val="918"/>
    <w:qFormat/>
    <w:rPr>
      <w:lang w:val="ru-RU" w:eastAsia="ru-RU" w:bidi="ar-SA"/>
    </w:rPr>
  </w:style>
  <w:style w:type="paragraph" w:styleId="919">
    <w:name w:val="Заголовок 1"/>
    <w:basedOn w:val="918"/>
    <w:next w:val="918"/>
    <w:link w:val="1019"/>
    <w:qFormat/>
    <w:pPr>
      <w:ind w:right="-1" w:firstLine="709"/>
      <w:jc w:val="both"/>
      <w:keepNext/>
      <w:outlineLvl w:val="0"/>
    </w:pPr>
    <w:rPr>
      <w:sz w:val="24"/>
    </w:rPr>
  </w:style>
  <w:style w:type="paragraph" w:styleId="920">
    <w:name w:val="Заголовок 2"/>
    <w:basedOn w:val="918"/>
    <w:next w:val="918"/>
    <w:link w:val="1020"/>
    <w:qFormat/>
    <w:pPr>
      <w:ind w:right="-1"/>
      <w:jc w:val="both"/>
      <w:keepNext/>
      <w:outlineLvl w:val="1"/>
    </w:pPr>
    <w:rPr>
      <w:sz w:val="24"/>
    </w:rPr>
  </w:style>
  <w:style w:type="character" w:styleId="921">
    <w:name w:val="Основной шрифт абзаца"/>
    <w:next w:val="921"/>
    <w:link w:val="918"/>
    <w:semiHidden/>
  </w:style>
  <w:style w:type="table" w:styleId="922">
    <w:name w:val="Обычная таблица"/>
    <w:next w:val="922"/>
    <w:link w:val="918"/>
    <w:semiHidden/>
    <w:tblPr/>
  </w:style>
  <w:style w:type="numbering" w:styleId="923">
    <w:name w:val="Нет списка"/>
    <w:next w:val="923"/>
    <w:link w:val="918"/>
    <w:semiHidden/>
  </w:style>
  <w:style w:type="paragraph" w:styleId="924">
    <w:name w:val="Название объекта"/>
    <w:basedOn w:val="918"/>
    <w:next w:val="918"/>
    <w:link w:val="91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25">
    <w:name w:val="Основной текст"/>
    <w:basedOn w:val="918"/>
    <w:next w:val="925"/>
    <w:link w:val="953"/>
    <w:pPr>
      <w:ind w:right="3117"/>
    </w:pPr>
    <w:rPr>
      <w:rFonts w:ascii="Courier New" w:hAnsi="Courier New"/>
      <w:sz w:val="26"/>
      <w:lang w:val="en-US" w:eastAsia="en-US"/>
    </w:rPr>
  </w:style>
  <w:style w:type="paragraph" w:styleId="926">
    <w:name w:val="Основной текст с отступом"/>
    <w:basedOn w:val="918"/>
    <w:next w:val="926"/>
    <w:link w:val="1021"/>
    <w:pPr>
      <w:ind w:right="-1"/>
      <w:jc w:val="both"/>
    </w:pPr>
    <w:rPr>
      <w:sz w:val="26"/>
    </w:rPr>
  </w:style>
  <w:style w:type="paragraph" w:styleId="927">
    <w:name w:val="Нижний колонтитул"/>
    <w:basedOn w:val="918"/>
    <w:next w:val="927"/>
    <w:link w:val="1012"/>
    <w:uiPriority w:val="99"/>
    <w:pPr>
      <w:tabs>
        <w:tab w:val="center" w:pos="4153" w:leader="none"/>
        <w:tab w:val="right" w:pos="8306" w:leader="none"/>
      </w:tabs>
    </w:pPr>
  </w:style>
  <w:style w:type="character" w:styleId="928">
    <w:name w:val="Номер страницы"/>
    <w:basedOn w:val="921"/>
    <w:next w:val="928"/>
    <w:link w:val="918"/>
  </w:style>
  <w:style w:type="paragraph" w:styleId="929">
    <w:name w:val="Верхний колонтитул"/>
    <w:basedOn w:val="918"/>
    <w:next w:val="929"/>
    <w:link w:val="932"/>
    <w:uiPriority w:val="99"/>
    <w:pPr>
      <w:tabs>
        <w:tab w:val="center" w:pos="4153" w:leader="none"/>
        <w:tab w:val="right" w:pos="8306" w:leader="none"/>
      </w:tabs>
    </w:pPr>
  </w:style>
  <w:style w:type="paragraph" w:styleId="930">
    <w:name w:val="Текст выноски"/>
    <w:basedOn w:val="918"/>
    <w:next w:val="930"/>
    <w:link w:val="931"/>
    <w:uiPriority w:val="99"/>
    <w:rPr>
      <w:rFonts w:ascii="Segoe UI" w:hAnsi="Segoe UI"/>
      <w:sz w:val="18"/>
      <w:szCs w:val="18"/>
      <w:lang w:val="en-US" w:eastAsia="en-US"/>
    </w:rPr>
  </w:style>
  <w:style w:type="character" w:styleId="931">
    <w:name w:val="Текст выноски Знак"/>
    <w:next w:val="931"/>
    <w:link w:val="930"/>
    <w:uiPriority w:val="99"/>
    <w:rPr>
      <w:rFonts w:ascii="Segoe UI" w:hAnsi="Segoe UI" w:cs="Segoe UI"/>
      <w:sz w:val="18"/>
      <w:szCs w:val="18"/>
    </w:rPr>
  </w:style>
  <w:style w:type="character" w:styleId="932">
    <w:name w:val="Верхний колонтитул Знак"/>
    <w:next w:val="932"/>
    <w:link w:val="929"/>
    <w:uiPriority w:val="99"/>
  </w:style>
  <w:style w:type="numbering" w:styleId="933">
    <w:name w:val="Нет списка1"/>
    <w:next w:val="923"/>
    <w:link w:val="918"/>
    <w:uiPriority w:val="99"/>
    <w:semiHidden/>
    <w:unhideWhenUsed/>
  </w:style>
  <w:style w:type="paragraph" w:styleId="934">
    <w:name w:val="Без интервала"/>
    <w:next w:val="934"/>
    <w:link w:val="91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35">
    <w:name w:val="Гиперссылка"/>
    <w:next w:val="935"/>
    <w:link w:val="918"/>
    <w:uiPriority w:val="99"/>
    <w:unhideWhenUsed/>
    <w:rPr>
      <w:color w:val="0000ff"/>
      <w:u w:val="single"/>
    </w:rPr>
  </w:style>
  <w:style w:type="character" w:styleId="936">
    <w:name w:val="Просмотренная гиперссылка"/>
    <w:next w:val="936"/>
    <w:link w:val="918"/>
    <w:uiPriority w:val="99"/>
    <w:unhideWhenUsed/>
    <w:rPr>
      <w:color w:val="800080"/>
      <w:u w:val="single"/>
    </w:rPr>
  </w:style>
  <w:style w:type="paragraph" w:styleId="937">
    <w:name w:val="xl65"/>
    <w:basedOn w:val="918"/>
    <w:next w:val="937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8">
    <w:name w:val="xl66"/>
    <w:basedOn w:val="918"/>
    <w:next w:val="938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39">
    <w:name w:val="xl67"/>
    <w:basedOn w:val="918"/>
    <w:next w:val="939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>
    <w:name w:val="xl68"/>
    <w:basedOn w:val="918"/>
    <w:next w:val="940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1">
    <w:name w:val="xl69"/>
    <w:basedOn w:val="918"/>
    <w:next w:val="941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>
    <w:name w:val="xl70"/>
    <w:basedOn w:val="918"/>
    <w:next w:val="942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3">
    <w:name w:val="xl71"/>
    <w:basedOn w:val="918"/>
    <w:next w:val="943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>
    <w:name w:val="xl72"/>
    <w:basedOn w:val="918"/>
    <w:next w:val="944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5">
    <w:name w:val="xl73"/>
    <w:basedOn w:val="918"/>
    <w:next w:val="945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6">
    <w:name w:val="xl74"/>
    <w:basedOn w:val="918"/>
    <w:next w:val="946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>
    <w:name w:val="xl75"/>
    <w:basedOn w:val="918"/>
    <w:next w:val="947"/>
    <w:link w:val="9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>
    <w:name w:val="xl76"/>
    <w:basedOn w:val="918"/>
    <w:next w:val="948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9">
    <w:name w:val="xl77"/>
    <w:basedOn w:val="918"/>
    <w:next w:val="949"/>
    <w:link w:val="91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>
    <w:name w:val="xl78"/>
    <w:basedOn w:val="918"/>
    <w:next w:val="950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>
    <w:name w:val="xl79"/>
    <w:basedOn w:val="918"/>
    <w:next w:val="951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>
    <w:name w:val="Форма"/>
    <w:next w:val="952"/>
    <w:link w:val="918"/>
    <w:rPr>
      <w:sz w:val="28"/>
      <w:szCs w:val="28"/>
      <w:lang w:val="ru-RU" w:eastAsia="ru-RU" w:bidi="ar-SA"/>
    </w:rPr>
  </w:style>
  <w:style w:type="character" w:styleId="953">
    <w:name w:val="Основной текст Знак"/>
    <w:next w:val="953"/>
    <w:link w:val="925"/>
    <w:rPr>
      <w:rFonts w:ascii="Courier New" w:hAnsi="Courier New"/>
      <w:sz w:val="26"/>
    </w:rPr>
  </w:style>
  <w:style w:type="paragraph" w:styleId="954">
    <w:name w:val="ConsPlusNormal"/>
    <w:next w:val="954"/>
    <w:link w:val="918"/>
    <w:rPr>
      <w:sz w:val="28"/>
      <w:szCs w:val="28"/>
      <w:lang w:val="ru-RU" w:eastAsia="ru-RU" w:bidi="ar-SA"/>
    </w:rPr>
  </w:style>
  <w:style w:type="numbering" w:styleId="955">
    <w:name w:val="Нет списка11"/>
    <w:next w:val="923"/>
    <w:link w:val="918"/>
    <w:uiPriority w:val="99"/>
    <w:semiHidden/>
    <w:unhideWhenUsed/>
  </w:style>
  <w:style w:type="numbering" w:styleId="956">
    <w:name w:val="Нет списка111"/>
    <w:next w:val="923"/>
    <w:link w:val="918"/>
    <w:uiPriority w:val="99"/>
    <w:semiHidden/>
    <w:unhideWhenUsed/>
  </w:style>
  <w:style w:type="paragraph" w:styleId="957">
    <w:name w:val="font5"/>
    <w:basedOn w:val="918"/>
    <w:next w:val="957"/>
    <w:link w:val="91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58">
    <w:name w:val="xl80"/>
    <w:basedOn w:val="918"/>
    <w:next w:val="958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59">
    <w:name w:val="xl81"/>
    <w:basedOn w:val="918"/>
    <w:next w:val="959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0">
    <w:name w:val="xl82"/>
    <w:basedOn w:val="918"/>
    <w:next w:val="960"/>
    <w:link w:val="91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61">
    <w:name w:val="Сетка таблицы"/>
    <w:basedOn w:val="922"/>
    <w:next w:val="961"/>
    <w:link w:val="91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62">
    <w:name w:val="xl83"/>
    <w:basedOn w:val="918"/>
    <w:next w:val="96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3">
    <w:name w:val="xl84"/>
    <w:basedOn w:val="918"/>
    <w:next w:val="96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>
    <w:name w:val="xl85"/>
    <w:basedOn w:val="918"/>
    <w:next w:val="96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5">
    <w:name w:val="xl86"/>
    <w:basedOn w:val="918"/>
    <w:next w:val="96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>
    <w:name w:val="xl87"/>
    <w:basedOn w:val="918"/>
    <w:next w:val="96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7">
    <w:name w:val="xl88"/>
    <w:basedOn w:val="918"/>
    <w:next w:val="967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>
    <w:name w:val="xl89"/>
    <w:basedOn w:val="918"/>
    <w:next w:val="968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9">
    <w:name w:val="xl90"/>
    <w:basedOn w:val="918"/>
    <w:next w:val="969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>
    <w:name w:val="xl91"/>
    <w:basedOn w:val="918"/>
    <w:next w:val="970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>
    <w:name w:val="xl92"/>
    <w:basedOn w:val="918"/>
    <w:next w:val="971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2">
    <w:name w:val="xl93"/>
    <w:basedOn w:val="918"/>
    <w:next w:val="97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3">
    <w:name w:val="xl94"/>
    <w:basedOn w:val="918"/>
    <w:next w:val="973"/>
    <w:link w:val="91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>
    <w:name w:val="xl95"/>
    <w:basedOn w:val="918"/>
    <w:next w:val="97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>
    <w:name w:val="xl96"/>
    <w:basedOn w:val="918"/>
    <w:next w:val="97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>
    <w:name w:val="xl97"/>
    <w:basedOn w:val="918"/>
    <w:next w:val="97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7">
    <w:name w:val="xl98"/>
    <w:basedOn w:val="918"/>
    <w:next w:val="977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8">
    <w:name w:val="xl99"/>
    <w:basedOn w:val="918"/>
    <w:next w:val="978"/>
    <w:link w:val="91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>
    <w:name w:val="xl100"/>
    <w:basedOn w:val="918"/>
    <w:next w:val="979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0">
    <w:name w:val="xl101"/>
    <w:basedOn w:val="918"/>
    <w:next w:val="980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>
    <w:name w:val="xl102"/>
    <w:basedOn w:val="918"/>
    <w:next w:val="981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>
    <w:name w:val="xl103"/>
    <w:basedOn w:val="918"/>
    <w:next w:val="982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>
    <w:name w:val="xl104"/>
    <w:basedOn w:val="918"/>
    <w:next w:val="98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>
    <w:name w:val="xl105"/>
    <w:basedOn w:val="918"/>
    <w:next w:val="98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>
    <w:name w:val="xl106"/>
    <w:basedOn w:val="918"/>
    <w:next w:val="985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6">
    <w:name w:val="xl107"/>
    <w:basedOn w:val="918"/>
    <w:next w:val="986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>
    <w:name w:val="xl108"/>
    <w:basedOn w:val="918"/>
    <w:next w:val="987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>
    <w:name w:val="xl109"/>
    <w:basedOn w:val="918"/>
    <w:next w:val="988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>
    <w:name w:val="xl110"/>
    <w:basedOn w:val="918"/>
    <w:next w:val="989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>
    <w:name w:val="xl111"/>
    <w:basedOn w:val="918"/>
    <w:next w:val="990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>
    <w:name w:val="xl112"/>
    <w:basedOn w:val="918"/>
    <w:next w:val="991"/>
    <w:link w:val="91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2">
    <w:name w:val="xl113"/>
    <w:basedOn w:val="918"/>
    <w:next w:val="992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>
    <w:name w:val="xl114"/>
    <w:basedOn w:val="918"/>
    <w:next w:val="993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>
    <w:name w:val="xl115"/>
    <w:basedOn w:val="918"/>
    <w:next w:val="994"/>
    <w:link w:val="91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5">
    <w:name w:val="xl116"/>
    <w:basedOn w:val="918"/>
    <w:next w:val="995"/>
    <w:link w:val="91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>
    <w:name w:val="xl117"/>
    <w:basedOn w:val="918"/>
    <w:next w:val="996"/>
    <w:link w:val="91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>
    <w:name w:val="xl118"/>
    <w:basedOn w:val="918"/>
    <w:next w:val="997"/>
    <w:link w:val="91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>
    <w:name w:val="xl119"/>
    <w:basedOn w:val="918"/>
    <w:next w:val="998"/>
    <w:link w:val="91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>
    <w:name w:val="xl120"/>
    <w:basedOn w:val="918"/>
    <w:next w:val="999"/>
    <w:link w:val="91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0">
    <w:name w:val="xl121"/>
    <w:basedOn w:val="918"/>
    <w:next w:val="1000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>
    <w:name w:val="xl122"/>
    <w:basedOn w:val="918"/>
    <w:next w:val="1001"/>
    <w:link w:val="91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>
    <w:name w:val="xl123"/>
    <w:basedOn w:val="918"/>
    <w:next w:val="1002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>
    <w:name w:val="xl124"/>
    <w:basedOn w:val="918"/>
    <w:next w:val="1003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>
    <w:name w:val="xl125"/>
    <w:basedOn w:val="918"/>
    <w:next w:val="1004"/>
    <w:link w:val="91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5">
    <w:name w:val="Нет списка2"/>
    <w:next w:val="923"/>
    <w:link w:val="918"/>
    <w:uiPriority w:val="99"/>
    <w:semiHidden/>
    <w:unhideWhenUsed/>
  </w:style>
  <w:style w:type="numbering" w:styleId="1006">
    <w:name w:val="Нет списка3"/>
    <w:next w:val="923"/>
    <w:link w:val="918"/>
    <w:uiPriority w:val="99"/>
    <w:semiHidden/>
    <w:unhideWhenUsed/>
  </w:style>
  <w:style w:type="paragraph" w:styleId="1007">
    <w:name w:val="font6"/>
    <w:basedOn w:val="918"/>
    <w:next w:val="1007"/>
    <w:link w:val="9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8">
    <w:name w:val="font7"/>
    <w:basedOn w:val="918"/>
    <w:next w:val="1008"/>
    <w:link w:val="91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9">
    <w:name w:val="font8"/>
    <w:basedOn w:val="918"/>
    <w:next w:val="1009"/>
    <w:link w:val="91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0">
    <w:name w:val="Нет списка4"/>
    <w:next w:val="923"/>
    <w:link w:val="918"/>
    <w:uiPriority w:val="99"/>
    <w:semiHidden/>
    <w:unhideWhenUsed/>
  </w:style>
  <w:style w:type="paragraph" w:styleId="1011">
    <w:name w:val="Абзац списка"/>
    <w:basedOn w:val="918"/>
    <w:next w:val="1011"/>
    <w:link w:val="91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1012">
    <w:name w:val="Нижний колонтитул Знак"/>
    <w:next w:val="1012"/>
    <w:link w:val="927"/>
    <w:uiPriority w:val="99"/>
  </w:style>
  <w:style w:type="character" w:styleId="1013">
    <w:name w:val="Знак примечания"/>
    <w:next w:val="1013"/>
    <w:link w:val="918"/>
    <w:rPr>
      <w:sz w:val="16"/>
      <w:szCs w:val="16"/>
    </w:rPr>
  </w:style>
  <w:style w:type="paragraph" w:styleId="1014">
    <w:name w:val="Текст примечания"/>
    <w:basedOn w:val="918"/>
    <w:next w:val="1014"/>
    <w:link w:val="1015"/>
  </w:style>
  <w:style w:type="character" w:styleId="1015">
    <w:name w:val="Текст примечания Знак"/>
    <w:basedOn w:val="921"/>
    <w:next w:val="1015"/>
    <w:link w:val="1014"/>
  </w:style>
  <w:style w:type="paragraph" w:styleId="1016">
    <w:name w:val="Тема примечания"/>
    <w:basedOn w:val="1014"/>
    <w:next w:val="1014"/>
    <w:link w:val="1017"/>
    <w:rPr>
      <w:b/>
      <w:bCs/>
      <w:lang w:val="en-US" w:eastAsia="en-US"/>
    </w:rPr>
  </w:style>
  <w:style w:type="character" w:styleId="1017">
    <w:name w:val="Тема примечания Знак"/>
    <w:next w:val="1017"/>
    <w:link w:val="1016"/>
    <w:rPr>
      <w:b/>
      <w:bCs/>
    </w:rPr>
  </w:style>
  <w:style w:type="paragraph" w:styleId="1018">
    <w:name w:val="Рецензия"/>
    <w:next w:val="1018"/>
    <w:link w:val="918"/>
    <w:hidden/>
    <w:uiPriority w:val="99"/>
    <w:semiHidden/>
    <w:rPr>
      <w:lang w:val="ru-RU" w:eastAsia="ru-RU" w:bidi="ar-SA"/>
    </w:rPr>
  </w:style>
  <w:style w:type="character" w:styleId="1019">
    <w:name w:val="Заголовок 1 Знак"/>
    <w:next w:val="1019"/>
    <w:link w:val="919"/>
    <w:rPr>
      <w:sz w:val="24"/>
    </w:rPr>
  </w:style>
  <w:style w:type="character" w:styleId="1020">
    <w:name w:val="Заголовок 2 Знак"/>
    <w:next w:val="1020"/>
    <w:link w:val="920"/>
    <w:rPr>
      <w:sz w:val="24"/>
    </w:rPr>
  </w:style>
  <w:style w:type="character" w:styleId="1021">
    <w:name w:val="Основной текст с отступом Знак"/>
    <w:next w:val="1021"/>
    <w:link w:val="926"/>
    <w:rPr>
      <w:sz w:val="26"/>
    </w:rPr>
  </w:style>
  <w:style w:type="paragraph" w:styleId="1022">
    <w:name w:val="Обычный (Интернет)"/>
    <w:basedOn w:val="918"/>
    <w:next w:val="1022"/>
    <w:link w:val="918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1023" w:default="1">
    <w:name w:val="Default Paragraph Font"/>
    <w:uiPriority w:val="1"/>
    <w:semiHidden/>
    <w:unhideWhenUsed/>
  </w:style>
  <w:style w:type="numbering" w:styleId="1024" w:default="1">
    <w:name w:val="No List"/>
    <w:uiPriority w:val="99"/>
    <w:semiHidden/>
    <w:unhideWhenUsed/>
  </w:style>
  <w:style w:type="table" w:styleId="102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image" Target="media/image2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shumilova-yan</cp:lastModifiedBy>
  <cp:revision>12</cp:revision>
  <dcterms:created xsi:type="dcterms:W3CDTF">2025-08-01T10:28:00Z</dcterms:created>
  <dcterms:modified xsi:type="dcterms:W3CDTF">2025-09-26T07:44:10Z</dcterms:modified>
  <cp:version>1048576</cp:version>
</cp:coreProperties>
</file>