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2939505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1039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7796750" name="Picture 1039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46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68126</wp:posOffset>
                </wp:positionH>
                <wp:positionV relativeFrom="paragraph">
                  <wp:posOffset>-495300</wp:posOffset>
                </wp:positionV>
                <wp:extent cx="6285865" cy="1658620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58619"/>
                          <a:chOff x="0" y="0"/>
                          <a:chExt cx="6285864" cy="165861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658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6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6"/>
                                  <w:lang w:val="en-US"/>
                                </w:rPr>
                              </w:pPr>
                              <w:r>
                                <w:rPr>
                                  <w:sz w:val="6"/>
                                  <w:lang w:val="en-US"/>
                                </w:rPr>
                              </w:r>
                              <w:r>
                                <w:rPr>
                                  <w:sz w:val="6"/>
                                  <w:lang w:val="en-US"/>
                                </w:rPr>
                              </w:r>
                              <w:r>
                                <w:rPr>
                                  <w:sz w:val="6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97938" y="129793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879793" y="130111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5.36pt;mso-position-horizontal:absolute;mso-position-vertical-relative:text;margin-top:-39.00pt;mso-position-vertical:absolute;width:494.95pt;height:130.60pt;mso-wrap-distance-left:9.00pt;mso-wrap-distance-top:0.00pt;mso-wrap-distance-right:9.00pt;mso-wrap-distance-bottom:0.00pt;" coordorigin="0,0" coordsize="62858,16586">
                <v:shape id="shape 2" o:spid="_x0000_s2" o:spt="202" type="#_x0000_t202" style="position:absolute;left:0;top:0;width:62858;height:16586;v-text-anchor:top;visibility:visible;" fillcolor="#FFFFFF" stroked="f">
                  <v:textbox inset="0,0,0,0">
                    <w:txbxContent>
                      <w:p>
                        <w:pPr>
                          <w:pStyle w:val="96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6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6"/>
                            <w:lang w:val="en-US"/>
                          </w:rPr>
                        </w:pPr>
                        <w:r>
                          <w:rPr>
                            <w:sz w:val="6"/>
                            <w:lang w:val="en-US"/>
                          </w:rPr>
                        </w:r>
                        <w:r>
                          <w:rPr>
                            <w:sz w:val="6"/>
                            <w:lang w:val="en-US"/>
                          </w:rPr>
                        </w:r>
                        <w:r>
                          <w:rPr>
                            <w:sz w:val="6"/>
                            <w:lang w:val="en-US"/>
                          </w:rPr>
                        </w:r>
                      </w:p>
                      <w:p>
                        <w:pPr>
                          <w:pStyle w:val="96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6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979;top:12979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8797;top:13011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09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09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09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ind w:right="4953"/>
        <w:spacing w:line="240" w:lineRule="exact"/>
        <w:rPr>
          <w:b/>
          <w:bCs/>
        </w:rPr>
      </w:pPr>
      <w:r>
        <w:rPr>
          <w:b/>
        </w:rPr>
        <w:t xml:space="preserve">Об утверждении Порядка определения объема и условий предоставления </w:t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4953"/>
        <w:spacing w:line="240" w:lineRule="exact"/>
        <w:rPr>
          <w:b/>
          <w:bCs/>
        </w:rPr>
      </w:pPr>
      <w:r>
        <w:rPr>
          <w:b/>
        </w:rPr>
        <w:t xml:space="preserve">субсидий на иные цели бюджетным </w:t>
      </w:r>
      <w:r>
        <w:rPr>
          <w:b/>
        </w:rPr>
        <w:br/>
        <w:t xml:space="preserve">и автономным учреждениям </w:t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4953"/>
        <w:spacing w:line="240" w:lineRule="exact"/>
        <w:rPr>
          <w:b/>
          <w:bCs/>
        </w:rPr>
      </w:pPr>
      <w:r/>
      <w:bookmarkStart w:id="0" w:name="_Hlk201239886"/>
      <w:r>
        <w:rPr>
          <w:b/>
        </w:rPr>
        <w:t xml:space="preserve">на поддержку проектов, победивших </w:t>
      </w:r>
      <w:r>
        <w:rPr>
          <w:b/>
        </w:rPr>
        <w:br/>
        <w:t xml:space="preserve">в конкурсе школьных проектов </w:t>
      </w:r>
      <w:r>
        <w:rPr>
          <w:b/>
        </w:rPr>
        <w:br/>
        <w:t xml:space="preserve">«Дети решают» </w:t>
      </w:r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095"/>
        <w:spacing w:line="240" w:lineRule="exact"/>
      </w:pPr>
      <w:r/>
      <w:r/>
    </w:p>
    <w:p>
      <w:pPr>
        <w:pStyle w:val="964"/>
        <w:ind w:right="5095"/>
        <w:spacing w:line="240" w:lineRule="exact"/>
      </w:pPr>
      <w:r/>
      <w:r/>
    </w:p>
    <w:p>
      <w:pPr>
        <w:ind w:right="509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</w:t>
      </w:r>
      <w:r>
        <w:rPr>
          <w:sz w:val="28"/>
          <w:szCs w:val="28"/>
        </w:rPr>
        <w:t xml:space="preserve">авительства Пермского края от 08 июня 2023 г. № 438-п «Об утверждении Порядка предоставления иных межбюджетных трансфертов из бюджета Пермского края бюджетам муниципальных образований Пермского края на поддержку проектов, победивших в конкурсе школьных про</w:t>
      </w:r>
      <w:r>
        <w:rPr>
          <w:sz w:val="28"/>
          <w:szCs w:val="28"/>
        </w:rPr>
        <w:t xml:space="preserve">ектов «Дети решают»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определения объема и условий предоставления субсидий на иные цели бюджетным и автономным учреждениям на поддержку проектов, победивших в конкурсе школьных проектов «Дети решают».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/>
        <w:jc w:val="left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города Перми                                                                            Я.В. Фурман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erReference w:type="first" r:id="rId14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954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954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25.09.2025 № 677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условий предоставления субсидий на иные цели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66"/>
        <w:contextualSpacing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бюджетным и автономным учреждениям на поддержку проектов,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66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победивших в конкурсе школьных проектов «Дети решают»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Общие положения о предоставлении субсидий на иные цели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на иные цели бюджетным и автономным учреждениям на поддержку проектов, победивших в конкурсе школьных проектов «Дети решают», о</w:t>
      </w:r>
      <w:r>
        <w:rPr>
          <w:rFonts w:ascii="Times New Roman" w:hAnsi="Times New Roman" w:cs="Times New Roman"/>
          <w:sz w:val="28"/>
          <w:szCs w:val="28"/>
        </w:rPr>
        <w:t xml:space="preserve">пределяет объем и условия предоставления субсидий на иные цели на поддержку </w:t>
      </w:r>
      <w:r>
        <w:rPr>
          <w:rFonts w:ascii="Times New Roman" w:hAnsi="Times New Roman" w:cs="Times New Roman"/>
          <w:sz w:val="28"/>
          <w:szCs w:val="28"/>
        </w:rPr>
        <w:t xml:space="preserve">проектов, победивших в конкурсе школьных проектов «Дети решают», муниципальным бюджетным и автономным учреждениям, в отношении которых департамент образования администрации города Перми осуществляет функции и полномочия учредителя (далее – Порядок, субсиди</w:t>
      </w:r>
      <w:r>
        <w:rPr>
          <w:rFonts w:ascii="Times New Roman" w:hAnsi="Times New Roman" w:cs="Times New Roman"/>
          <w:sz w:val="28"/>
          <w:szCs w:val="28"/>
        </w:rPr>
        <w:t xml:space="preserve">и на иные цели, Учреждения, Департамент).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предоставления субсидий на иные цели является поддержание детских социально значимых инициатив, победивших в конкурсе школьных проектов «Дети решают», в рамках реализации мероприятий муниципальной программы «Доступное и качественное образование».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Средства субсидий на иные цели предоставляются Учреждениям </w:t>
      </w:r>
      <w:r>
        <w:rPr>
          <w:sz w:val="28"/>
          <w:szCs w:val="28"/>
        </w:rPr>
        <w:br/>
        <w:t xml:space="preserve">по конкурсному направлению «Патриотическое воспитание» (формирование гражданственности детей и молодежи, сохранение исторической памяти и культурного наследия, содействие деятельности поисковых отрядов, археологических и военно-исторических клубов, объеди</w:t>
      </w:r>
      <w:r>
        <w:rPr>
          <w:sz w:val="28"/>
          <w:szCs w:val="28"/>
        </w:rPr>
        <w:t xml:space="preserve">нений краеведческой направленности, патриотических молодежных проектов и программ, патриотических клубов и иных молодежных объединений патриотической направленности, сохранение традиционной культуры и ремесел народов страны в целях развития связей между по</w:t>
      </w:r>
      <w:r>
        <w:rPr>
          <w:sz w:val="28"/>
          <w:szCs w:val="28"/>
        </w:rPr>
        <w:t xml:space="preserve">колениями) с целью реализации школьных проектов «Быть там, где мы нужны» и «Молотов. История города. К 80-летию Победы», победивших в конкурсе школьных проектов «Дети решают».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Средства субсидий на иные цели направляются на оплату работ и услуг физических лиц, приобретение товаров и оборудования, в том числе полиграфической продукции, канцтоваров.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Субсидии на иные цели предоставляются Учреждениям в пределах бюджетных ассигнован</w:t>
      </w:r>
      <w:r>
        <w:rPr>
          <w:rFonts w:ascii="Times New Roman" w:hAnsi="Times New Roman" w:cs="Times New Roman"/>
          <w:sz w:val="28"/>
          <w:szCs w:val="28"/>
        </w:rPr>
        <w:t xml:space="preserve">ий и лимитов бюджетных обязательств на текущий финансовый год за счет средств бюджета Пермского края на основании сводной бюджетной росписи бюджета города Перми в рамках реализации мероприятий муниципальной программы «Доступное и качественное образование».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Условия и порядок предоставления субсидий на иные цели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69"/>
        <w:ind w:firstLine="709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2.1. Для получения субсидий на иные цели Учреждения представляют </w:t>
      </w:r>
      <w:r>
        <w:rPr>
          <w:sz w:val="28"/>
        </w:rPr>
        <w:br/>
        <w:t xml:space="preserve">на бумажном носителе в Департамент:</w:t>
      </w:r>
      <w:r>
        <w:rPr>
          <w:sz w:val="28"/>
        </w:rPr>
      </w:r>
      <w:r>
        <w:rPr>
          <w:sz w:val="28"/>
        </w:rPr>
      </w:r>
    </w:p>
    <w:p>
      <w:pPr>
        <w:pStyle w:val="969"/>
        <w:ind w:firstLine="709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пояснительную записку, содержащую обоснование необходимости предоставления субсидий на иные цели;</w:t>
      </w:r>
      <w:r>
        <w:rPr>
          <w:sz w:val="28"/>
        </w:rPr>
      </w:r>
      <w:r>
        <w:rPr>
          <w:sz w:val="28"/>
        </w:rPr>
      </w:r>
    </w:p>
    <w:p>
      <w:pPr>
        <w:pStyle w:val="969"/>
        <w:ind w:firstLine="709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расчет-обоснование суммы субсидий на иные цели согласно приложению </w:t>
      </w:r>
      <w:r>
        <w:rPr>
          <w:sz w:val="28"/>
        </w:rPr>
        <w:br/>
        <w:t xml:space="preserve">к настоящему Порядку;</w:t>
      </w:r>
      <w:r>
        <w:rPr>
          <w:sz w:val="28"/>
        </w:rPr>
      </w:r>
      <w:r>
        <w:rPr>
          <w:sz w:val="28"/>
        </w:rPr>
      </w:r>
    </w:p>
    <w:p>
      <w:pPr>
        <w:pStyle w:val="969"/>
        <w:ind w:firstLine="709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предварительную смету расходов на проведение мероприятий для реализации школьных проектов, прошедших отбор и победивших в конкурсе школьных проектов «Дети решают», представленную в адрес Министерства образования и науки Пермского края на основании протокол</w:t>
      </w:r>
      <w:r>
        <w:rPr>
          <w:sz w:val="28"/>
        </w:rPr>
        <w:t xml:space="preserve">а заседания комиссии по отбору муниципальных образований Пермского края на предоставление иных межбюджетных трансфертов из бюджета Пермского края бюджетам муниципальных образований Пермского края на поддержку проектов, победивших в конкурсе школьных проект</w:t>
      </w:r>
      <w:r>
        <w:rPr>
          <w:sz w:val="28"/>
        </w:rPr>
        <w:t xml:space="preserve">ов «Дети решают» (далее – Протокол);</w:t>
      </w:r>
      <w:r>
        <w:rPr>
          <w:sz w:val="28"/>
        </w:rPr>
      </w:r>
      <w:r>
        <w:rPr>
          <w:sz w:val="28"/>
        </w:rPr>
      </w:r>
    </w:p>
    <w:p>
      <w:pPr>
        <w:pStyle w:val="969"/>
        <w:ind w:firstLine="709"/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документы, подтверждающие отсутствие у Учреждений задолженности </w:t>
      </w:r>
      <w:r>
        <w:rPr>
          <w:sz w:val="28"/>
        </w:rPr>
        <w:br/>
        <w:t xml:space="preserve">по уплате налогов, сборов и иных обязательных платежей в бюджеты бюджетной системы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>
        <w:rPr>
          <w:bCs/>
          <w:sz w:val="28"/>
          <w:szCs w:val="28"/>
        </w:rPr>
        <w:t xml:space="preserve">На дату, предшествующую дате представления документов, указанных </w:t>
      </w:r>
      <w:r>
        <w:rPr>
          <w:bCs/>
          <w:sz w:val="28"/>
          <w:szCs w:val="28"/>
        </w:rPr>
        <w:br/>
        <w:t xml:space="preserve">в пункте 2.1 настоящего Порядка, не более чем на 1 месяц, Учреждения должны соответствовать следующим требованиям: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</w:rPr>
      </w:pPr>
      <w:r>
        <w:rPr>
          <w:sz w:val="28"/>
        </w:rPr>
        <w:t xml:space="preserve">2.3. </w:t>
      </w:r>
      <w:r>
        <w:rPr>
          <w:bCs/>
          <w:sz w:val="28"/>
        </w:rPr>
        <w:t xml:space="preserve">Рассмотрение и проверка документов на полноту их представления </w:t>
      </w:r>
      <w:r>
        <w:rPr>
          <w:bCs/>
          <w:sz w:val="28"/>
        </w:rPr>
        <w:br/>
        <w:t xml:space="preserve">в соответствии с пунктом 2.1 настоящего Порядка осуществляется Департаментом в течение 10 рабочих дней со дня их представления.</w:t>
      </w:r>
      <w:r>
        <w:rPr>
          <w:bCs/>
          <w:sz w:val="28"/>
        </w:rPr>
      </w:r>
      <w:r>
        <w:rPr>
          <w:bCs/>
          <w:sz w:val="28"/>
        </w:rPr>
      </w:r>
    </w:p>
    <w:p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Департамент со дня рассмотрения документов, указанных в пункте 2.1 настоящего Порядка, принимает решение о предоставлении субсидий на иные цели или об отказе в предоставлении субсидий на иные цели.</w:t>
      </w:r>
      <w:r>
        <w:rPr>
          <w:bCs/>
          <w:sz w:val="28"/>
        </w:rPr>
      </w:r>
      <w:r>
        <w:rPr>
          <w:bCs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2.4. Основания для отказа Учреждениям в предоставлении субсидий на иные цели: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несоответствие представленных Учреждениями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недостоверность информации, содержащейся в документах, представленных Учреждениями в соответствии с пунктом 2.1 настоящего Порядка.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2.5. Размер субсидий на иные цели определяется на основании предварительной сметы расходов на проведение мероприятий для реализации школьных проектов «Быть там, где мы нужны» и «Молотов. История города. К 80-летию Победы», </w:t>
      </w:r>
      <w:r>
        <w:rPr>
          <w:sz w:val="28"/>
        </w:rPr>
        <w:t xml:space="preserve">прошедших отбор и победивших в конкурсе школьных проектов «Дети решают», представленной в адрес Министерства образования и науки Пермского края на основании Протокола.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Размер субсидий на иные цели в разрезе Учреждений устанавливается приказом начальника Департамента (далее – Приказ). Приказ издается в течение </w:t>
      </w:r>
      <w:r>
        <w:rPr>
          <w:sz w:val="28"/>
        </w:rPr>
        <w:br/>
        <w:t xml:space="preserve">10 рабочих дней после рассмотрения и проверки документов, представленных Учреждениями в соответствии с пунктом 2.1 настоящего Порядка.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2.6. Субсидии на иные цели предоставляются в соответствии с согл</w:t>
      </w:r>
      <w:r>
        <w:rPr>
          <w:sz w:val="28"/>
        </w:rPr>
        <w:t xml:space="preserve">ашением о предоставлении субсидии из бюджета города Перми (далее – Соглашение), заключенным между Департаментом и Учреждением по типовой форме, утвержденной распоряжением начальника департамента финансов администрации города Перми (далее – типовая форма), </w:t>
      </w:r>
      <w:r>
        <w:rPr>
          <w:bCs/>
          <w:sz w:val="28"/>
        </w:rPr>
        <w:t xml:space="preserve">не позднее 10 рабочих дней со дня внесения изменений в сводную бюджетную роспись бюджета города Перми и вступления в силу настоящего Порядка.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2.7. Условиями заключения Соглашения являются: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соответствие Учреждений требованиям, установленным пунктом 2.2 настоящего Порядка;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наличие бюджетных ассигнований на предоставление субсидий на иные цели в сводной бюджетной росписи, муниципальной программе «Доступное и качественное образование».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2.8. Внесение изменений в Соглашение.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При внесении изменений в настоящий Порядок, муниципальную программу «Доступное и качественное образование», сводную бюджетную роспись, </w:t>
      </w:r>
      <w:r>
        <w:rPr>
          <w:bCs/>
          <w:sz w:val="28"/>
        </w:rPr>
        <w:t xml:space="preserve">Приказ</w:t>
      </w:r>
      <w:r>
        <w:rPr>
          <w:sz w:val="28"/>
        </w:rPr>
        <w:t xml:space="preserve">, требующих внесения изменений в Соглашение, дополнительные соглашения заключаются в течение 10 рабочих дней со дня вступления в силу изменений </w:t>
      </w:r>
      <w:r>
        <w:rPr>
          <w:sz w:val="28"/>
        </w:rPr>
        <w:br/>
        <w:t xml:space="preserve">в указанные правовые акты.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типовой формой.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2.9. Субсидии на иные цели перечисляются Учреждениям в сроки, установленные Соглашением. Периодичность перечисления субсидий на иные цели – </w:t>
      </w:r>
      <w:r>
        <w:rPr>
          <w:sz w:val="28"/>
        </w:rPr>
        <w:br/>
        <w:t xml:space="preserve">в течение года после представления документов, подтверждающих возникновение денежных обязательств.</w:t>
      </w:r>
      <w:r>
        <w:rPr>
          <w:i/>
          <w:sz w:val="28"/>
        </w:rPr>
      </w:r>
      <w:r>
        <w:rPr>
          <w:i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2.10. Субсидии на иные цели Учреждениям предоставляются путем перечисления Департаментом денежных средств на отдельные лицевые счета Учреждений, открытые в департаменте финансов администрации города Перми в установленном порядке.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2.11.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2.12. Результатом предоставления субсидий на иные цели является количество мероприятий, организованных и проведенных в рамках реализации школьного </w:t>
      </w:r>
      <w:r>
        <w:rPr>
          <w:sz w:val="28"/>
        </w:rPr>
        <w:t xml:space="preserve">проекта «Дети решают», в соответствии с муниципальной программой «Доступное и качественное образование».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результата предоставления субсидий на иные цели Соглашением устанавливается план мероприятий по достижению результатов</w:t>
      </w:r>
      <w:r>
        <w:rPr>
          <w:sz w:val="28"/>
          <w:szCs w:val="28"/>
        </w:rPr>
        <w:t xml:space="preserve"> предоставления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III. Требования к отчетности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Учреждения представляют в Департамент следующую отчетность </w:t>
      </w:r>
      <w:r>
        <w:rPr>
          <w:sz w:val="28"/>
          <w:szCs w:val="28"/>
        </w:rPr>
        <w:br/>
        <w:t xml:space="preserve">(далее –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ежеквартально до 10 числа месяца (за год до 15 числа месяца), следующего за отчетным, по форме, установленной типовой формой: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 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ежеквартально до 10 числа месяца, следующего за отчетным, и не позднее 10 рабочего дня после достижения конечного значения результата предоставления субсидий на иные цели  по форме, установленной приложением 3 к Порядку проведения мониторинга достиж</w:t>
      </w:r>
      <w:r>
        <w:rPr>
          <w:sz w:val="28"/>
          <w:szCs w:val="28"/>
        </w:rPr>
        <w:t xml:space="preserve">ения результатов предоставления субсидий, в том числе грантов в форме субсидий, юридическим лицам, в том числе бюджетным и автономным учреждениям, индивидуальным предпринимателям, физическим лицам – производителям товаров, работ, услуг, утвержденному прика</w:t>
      </w:r>
      <w:r>
        <w:rPr>
          <w:sz w:val="28"/>
          <w:szCs w:val="28"/>
        </w:rPr>
        <w:t xml:space="preserve">зом Министерства финансов Российской Федерации от 27 апреля 2024 г. № 53н: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</w:t>
      </w:r>
      <w:r>
        <w:rPr>
          <w:sz w:val="28"/>
          <w:szCs w:val="28"/>
        </w:rPr>
        <w:t xml:space="preserve"> предоставления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3.2. Ответственность за своевременность представления Отчетов и достоверность отчетных данных возлагается на руководителей Учреждений.</w:t>
      </w:r>
      <w:r>
        <w:rPr>
          <w:sz w:val="28"/>
        </w:rPr>
      </w:r>
      <w:r>
        <w:rPr>
          <w:sz w:val="28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IV. Порядок осуществления контроля за соблюдением целей, условий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и порядка предоставления субсидий на иные цели и ответственность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за их несоблюдение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4.1. Департамент и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4.2. </w:t>
      </w:r>
      <w:r>
        <w:rPr>
          <w:bCs/>
          <w:sz w:val="28"/>
          <w:szCs w:val="24"/>
        </w:rPr>
        <w:t xml:space="preserve">Департамент проводит мониторинг</w:t>
      </w:r>
      <w:r>
        <w:rPr>
          <w:bCs/>
          <w:sz w:val="28"/>
          <w:szCs w:val="24"/>
        </w:rPr>
        <w:t xml:space="preserve"> достижения значений результатов предоставления субсидий на иные цели, определенных Соглашением, и событий, отражающих факт завершения соответствующего мероприятия по получению результата предоставления субсидий на иные цели (контрольная точка), в порядке </w:t>
      </w:r>
      <w:r>
        <w:rPr>
          <w:bCs/>
          <w:sz w:val="28"/>
          <w:szCs w:val="24"/>
        </w:rPr>
        <w:br/>
        <w:t xml:space="preserve">и по формам, которые установлены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</w:t>
      </w:r>
      <w:r>
        <w:rPr>
          <w:bCs/>
          <w:sz w:val="28"/>
          <w:szCs w:val="24"/>
        </w:rPr>
        <w:t xml:space="preserve">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 апреля 2024 г. № 53н.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4.3. Ответственность за нецелевое использование средств субсидий на иные цели, несоблюдение условий их предоставления, установленных настоящим Порядком и (или) Соглашением, несут руководители Учреждений в соответствии </w:t>
      </w:r>
      <w:r>
        <w:rPr>
          <w:sz w:val="28"/>
        </w:rPr>
        <w:br/>
        <w:t xml:space="preserve">с законодательством.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4.4. В случае несоблюдения Учреждениями ц</w:t>
      </w:r>
      <w:r>
        <w:rPr>
          <w:sz w:val="28"/>
        </w:rPr>
        <w:t xml:space="preserve">елей и условий, установленных при предоставлении субсидий на иные цели, выявленного по результатам проверок, проведенных Департаментом и органом муниципального финансового контроля, данные средства подлежат возврату в бюджет города Перми в следующие сроки: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требования Департамента – в течение 30 календарных дней </w:t>
      </w:r>
      <w:r>
        <w:rPr>
          <w:sz w:val="28"/>
        </w:rPr>
        <w:br/>
        <w:t xml:space="preserve">со дня получения Учреждениями соответствующего требования;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представления и (или) предписания органа муниципального финансового контроля – в срок, установленный в соответствии с бюджетным законодательством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невыполнения Учреждениями требований о возврате субсидий </w:t>
      </w:r>
      <w:r>
        <w:rPr>
          <w:sz w:val="28"/>
        </w:rPr>
        <w:br/>
        <w:t xml:space="preserve">на иные цели Департамент обеспечивает взыскание субсидий на иные цели </w:t>
      </w:r>
      <w:r>
        <w:rPr>
          <w:sz w:val="28"/>
        </w:rPr>
        <w:br/>
        <w:t xml:space="preserve">в судебном порядке в соответствии с действующим законодательством.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4.5. В случае недостижения результата предоставления субсидий на иные цели, установленного пунктом 2.12 настоящего Порядка, субсидии на иные цели подлежат возврату в доход бюджета города Перми в течение 10 рабочих дней </w:t>
      </w:r>
      <w:r>
        <w:rPr>
          <w:sz w:val="28"/>
        </w:rPr>
        <w:br/>
        <w:t xml:space="preserve">со дня выявления указанного недостижения.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Объем средств, подлежащих возврату в доход бюджета города Перми </w:t>
      </w:r>
      <w:r>
        <w:rPr>
          <w:sz w:val="28"/>
        </w:rPr>
        <w:br/>
        <w:t xml:space="preserve">(</w:t>
      </w:r>
      <w:r>
        <w:rPr>
          <w:sz w:val="28"/>
        </w:rPr>
        <w:t xml:space="preserve">V</w:t>
      </w:r>
      <w:r>
        <w:rPr>
          <w:sz w:val="28"/>
          <w:vertAlign w:val="subscript"/>
        </w:rPr>
        <w:t xml:space="preserve">возврата</w:t>
      </w:r>
      <w:r>
        <w:rPr>
          <w:sz w:val="28"/>
        </w:rPr>
        <w:t xml:space="preserve">), рассчитывается по формуле: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center"/>
        <w:rPr>
          <w:sz w:val="28"/>
        </w:rPr>
      </w:pP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</w:rPr>
            </m:ctrlPr>
          </m:sSubPr>
          <m:e>
            <m:r>
              <w:rPr>
                <w:sz w:val="28"/>
              </w:rPr>
              <m:rPr>
                <m:nor m:val="on"/>
              </m:rPr>
              <m:t>V</m:t>
            </m:r>
          </m:e>
          <m:sub>
            <m:r>
              <w:rPr>
                <w:sz w:val="28"/>
              </w:rPr>
              <m:rPr>
                <m:nor m:val="on"/>
              </m:rPr>
              <m:t>возврата</m:t>
            </m:r>
          </m:sub>
        </m:sSub>
        <m:r>
          <w:rPr>
            <w:rFonts w:ascii="Cambria Math" w:hAnsi="Cambria Math" w:eastAsia="Cambria Math" w:cs="Cambria Math"/>
            <w:sz w:val="28"/>
          </w:rPr>
          <m:rPr/>
          <m:t>=(1-</m:t>
        </m:r>
        <m:f>
          <m:fPr>
            <m:ctrlPr>
              <w:rPr>
                <w:rFonts w:ascii="Cambria Math" w:hAnsi="Cambria Math" w:eastAsia="Cambria Math" w:cs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eastAsia="Cambria Math" w:cs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</w:rPr>
                  <m:rPr/>
                  <m:t>Х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</w:rPr>
                  <m:rPr/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/>
                    <w:sz w:val="28"/>
                  </w:rPr>
                </m:ctrlPr>
              </m:sSubPr>
              <m:e>
                <m:r>
                  <w:rPr>
                    <w:sz w:val="28"/>
                  </w:rPr>
                  <m:rPr>
                    <m:nor m:val="on"/>
                  </m:rPr>
                  <m:t>Х</m:t>
                </m:r>
              </m:e>
              <m:sub>
                <m:r>
                  <w:rPr>
                    <w:sz w:val="28"/>
                  </w:rPr>
                  <m:rPr>
                    <m:nor m:val="on"/>
                  </m:rPr>
                  <m:t>план</m:t>
                </m:r>
              </m:sub>
            </m:sSub>
          </m:den>
        </m:f>
        <m:r>
          <w:rPr>
            <w:rFonts w:ascii="Cambria Math" w:hAnsi="Cambria Math" w:eastAsia="Cambria Math" w:cs="Cambria Math"/>
            <w:sz w:val="28"/>
          </w:rPr>
          <m:rPr/>
          <m:t>)×</m:t>
        </m:r>
        <m:sSub>
          <m:sSubPr>
            <m:ctrlPr>
              <w:rPr>
                <w:rFonts w:ascii="Cambria Math" w:hAnsi="Cambria Math" w:eastAsia="Cambria Math" w:cs="Cambria Math"/>
                <w:sz w:val="28"/>
                <w:lang w:val="en-US"/>
              </w:rPr>
            </m:ctrlPr>
          </m:sSubPr>
          <m:e>
            <m:r>
              <w:rPr>
                <w:sz w:val="28"/>
                <w:lang w:val="en-US"/>
              </w:rPr>
              <m:rPr>
                <m:nor m:val="on"/>
              </m:rPr>
              <m:t>V</m:t>
            </m:r>
          </m:e>
          <m:sub>
            <m:r>
              <w:rPr>
                <w:rFonts w:ascii="Cambria Math" w:hAnsi="Cambria Math" w:eastAsia="Cambria Math" w:cs="Cambria Math"/>
                <w:sz w:val="28"/>
              </w:rPr>
              <m:rPr/>
              <m:t>субсидии</m:t>
            </m:r>
          </m:sub>
        </m:sSub>
      </m:oMath>
      <w:r>
        <w:rPr>
          <w:sz w:val="28"/>
        </w:rPr>
        <w:t xml:space="preserve">, где</w:t>
      </w:r>
      <w:r>
        <w:rPr>
          <w:sz w:val="28"/>
        </w:rPr>
      </w:r>
      <w:r>
        <w:rPr>
          <w:sz w:val="28"/>
        </w:rPr>
      </w:r>
    </w:p>
    <w:p>
      <w:pPr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V</w:t>
      </w:r>
      <w:r>
        <w:rPr>
          <w:sz w:val="28"/>
          <w:vertAlign w:val="subscript"/>
        </w:rPr>
        <w:t xml:space="preserve">субсидии</w:t>
      </w:r>
      <w:r>
        <w:rPr>
          <w:sz w:val="28"/>
        </w:rPr>
        <w:t xml:space="preserve"> – размер субсидий на иные цели, полученный Учреждением;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X</w:t>
      </w:r>
      <w:r>
        <w:rPr>
          <w:sz w:val="28"/>
          <w:vertAlign w:val="subscript"/>
        </w:rPr>
        <w:t xml:space="preserve">факт</w:t>
      </w:r>
      <w:r>
        <w:rPr>
          <w:sz w:val="28"/>
        </w:rPr>
        <w:t xml:space="preserve"> – фактически достигнутое значение результата предоставления субсидий на иные цели на отчетную дату;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X</w:t>
      </w:r>
      <w:r>
        <w:rPr>
          <w:sz w:val="28"/>
          <w:vertAlign w:val="subscript"/>
        </w:rPr>
        <w:t xml:space="preserve">план</w:t>
      </w:r>
      <w:r>
        <w:rPr>
          <w:sz w:val="28"/>
        </w:rPr>
        <w:t xml:space="preserve"> – плановый результат предоставления субсидий на иные цели.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4.6. Остатки субсидий на иные цели, неиспользованные на начало текущего финансового года, могут быть использованы Учреждениями в текущем финансовом году при наличии потребности в направлении их на те же цели.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Учреждения не позднее первых 10 р</w:t>
      </w:r>
      <w:r>
        <w:rPr>
          <w:sz w:val="28"/>
        </w:rPr>
        <w:t xml:space="preserve">абочих дней текущего финансового года направляют в Департамент запрос, отражающий причины образования неиспользованных остатков и необходимость их использования в текущем финансовом году, с приложением документов (копий документов), подтверждающих наличие </w:t>
      </w:r>
      <w:r>
        <w:rPr>
          <w:sz w:val="28"/>
        </w:rPr>
        <w:br/>
        <w:t xml:space="preserve">и объем неисполненных обязательств, принятых до начала текущего финансового года либо подлежащих принятию в текущем финансовом году.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Решение Департамента об испол</w:t>
      </w:r>
      <w:r>
        <w:rPr>
          <w:sz w:val="28"/>
        </w:rPr>
        <w:t xml:space="preserve">ьзовании в текущем финансовом году указанных средств принимается по итогам рассмотрения запросов, представленных Учреждениями в Департамент, не позднее 10 рабочих дней с момента поступления запроса Учреждения путем издания приказа начальника Департамента.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Неиспользованные остатки субсидий на иные цели, в отношении которых </w:t>
      </w:r>
      <w:r>
        <w:rPr>
          <w:sz w:val="28"/>
        </w:rPr>
        <w:br/>
        <w:t xml:space="preserve">не принято решение о направлении их на те же цели в текущем финансовом году, ис</w:t>
      </w:r>
      <w:r>
        <w:rPr>
          <w:sz w:val="28"/>
        </w:rPr>
        <w:t xml:space="preserve">точником финансового обеспечения которых являются средства бюджета Пермского края, подлежат возврату в бюджет города Перми с последующим возвратом в установленном порядке в бюджет Пермского края не позднее первых 15 рабочих дней текущего финансового года.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4.7. В случае поступления средств от возврата ранее произведенных Учреждением выплат, источником финансового обеспечения которых являются субсидии на иные цели, и при наличии потребности Учреждения не позднее 5 рабочих дней с момента поступления средств в </w:t>
      </w:r>
      <w:r>
        <w:rPr>
          <w:sz w:val="28"/>
        </w:rPr>
        <w:t xml:space="preserve">Учреждения направляют в Департамент запрос, отражающий необходимость использования указанных средств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</w:t>
      </w:r>
      <w:r>
        <w:rPr>
          <w:sz w:val="28"/>
        </w:rPr>
        <w:t xml:space="preserve">его финансового года либо подлежащих принятию в текущем финансовом году.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По итогам рассмотрения представленных Учреждениями запросов Департамент в течение 30 рабочих дней с момента поступления средств в Учреждения принимает решение путем издания приказа об использовании в текущем финансовом году указанных средств.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</w:t>
      </w:r>
      <w:r>
        <w:rPr>
          <w:sz w:val="28"/>
          <w:szCs w:val="28"/>
        </w:rPr>
        <w:br/>
        <w:t xml:space="preserve">и условий предоставления субсидий на иные цели бюджетным </w:t>
      </w:r>
      <w:r>
        <w:rPr>
          <w:sz w:val="28"/>
          <w:szCs w:val="28"/>
        </w:rPr>
        <w:br/>
        <w:t xml:space="preserve">и автономным учреждениям</w:t>
      </w:r>
      <w:r>
        <w:rPr>
          <w:sz w:val="28"/>
          <w:szCs w:val="28"/>
        </w:rPr>
        <w:br/>
        <w:t xml:space="preserve">на поддержку проектов,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победивших в конкурсе школьных проектов «Дети решают»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РАСЧЕТ-ОБОСНОВАНИЕ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субсидий на иные цели на реализацию проекта, победившего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конкурсе школьных проектов «Дети решают»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состоянию на «__» ___________ 20____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4"/>
          <w:szCs w:val="28"/>
        </w:rPr>
      </w:pPr>
      <w:r>
        <w:rPr>
          <w:sz w:val="24"/>
          <w:szCs w:val="28"/>
        </w:rPr>
        <w:t xml:space="preserve">(наименование учреждения)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5953"/>
        <w:gridCol w:w="369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9" w:type="dxa"/>
            <w:textDirection w:val="lrTb"/>
            <w:noWrap w:val="false"/>
          </w:tcPr>
          <w:p>
            <w:pPr>
              <w:pStyle w:val="969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субсидий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9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иные цели (руб.) </w:t>
            </w:r>
            <w:r>
              <w:rPr>
                <w:sz w:val="28"/>
                <w:szCs w:val="28"/>
              </w:rPr>
              <w:br/>
              <w:t xml:space="preserve">в соответствии со сметой*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14"/>
        <w:gridCol w:w="5931"/>
      </w:tblGrid>
      <w:tr>
        <w:tblPrEx/>
        <w:trPr/>
        <w:tc>
          <w:tcPr>
            <w:tcW w:w="41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 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(дата заполнения)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(подпись, расшифровка подписи)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206"/>
        <w:spacing w:line="240" w:lineRule="exact"/>
        <w:rPr>
          <w:sz w:val="22"/>
          <w:szCs w:val="22"/>
        </w:rPr>
        <w:outlineLvl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В соответствии с пунктом 2.5 Порядка определения объема и условий предоставления субсидий на иные цели бюджетным и автономным учреждениям на поддержку проектов, победивших в конкурсе школьных проектов «Дети решают».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rStyle w:val="959"/>
      </w:rPr>
      <w:framePr w:wrap="around" w:vAnchor="text" w:hAnchor="margin" w:xAlign="center" w:y="1"/>
    </w:pPr>
    <w:r>
      <w:rPr>
        <w:rStyle w:val="959"/>
      </w:rPr>
      <w:fldChar w:fldCharType="begin"/>
    </w:r>
    <w:r>
      <w:rPr>
        <w:rStyle w:val="959"/>
      </w:rPr>
      <w:instrText xml:space="preserve">PAGE  </w:instrText>
    </w:r>
    <w:r>
      <w:rPr>
        <w:rStyle w:val="959"/>
      </w:rPr>
      <w:fldChar w:fldCharType="end"/>
    </w:r>
    <w:r>
      <w:rPr>
        <w:rStyle w:val="959"/>
      </w:rPr>
    </w:r>
    <w:r>
      <w:rPr>
        <w:rStyle w:val="959"/>
      </w:rPr>
    </w:r>
  </w:p>
  <w:p>
    <w:pPr>
      <w:pStyle w:val="9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6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 w:default="1">
    <w:name w:val="Normal"/>
    <w:qFormat/>
  </w:style>
  <w:style w:type="paragraph" w:styleId="741">
    <w:name w:val="Heading 1"/>
    <w:basedOn w:val="740"/>
    <w:next w:val="740"/>
    <w:link w:val="950"/>
    <w:qFormat/>
    <w:pPr>
      <w:ind w:right="-1" w:firstLine="709"/>
      <w:jc w:val="both"/>
      <w:keepNext/>
      <w:outlineLvl w:val="0"/>
    </w:pPr>
    <w:rPr>
      <w:sz w:val="24"/>
    </w:rPr>
  </w:style>
  <w:style w:type="paragraph" w:styleId="742">
    <w:name w:val="Heading 2"/>
    <w:basedOn w:val="740"/>
    <w:next w:val="740"/>
    <w:link w:val="951"/>
    <w:qFormat/>
    <w:pPr>
      <w:ind w:right="-1"/>
      <w:jc w:val="both"/>
      <w:keepNext/>
      <w:outlineLvl w:val="1"/>
    </w:pPr>
    <w:rPr>
      <w:sz w:val="24"/>
    </w:rPr>
  </w:style>
  <w:style w:type="paragraph" w:styleId="743">
    <w:name w:val="Heading 3"/>
    <w:basedOn w:val="740"/>
    <w:next w:val="740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next w:val="740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40"/>
    <w:next w:val="740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next w:val="740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next w:val="740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Heading 3 Char"/>
    <w:basedOn w:val="750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50"/>
    <w:uiPriority w:val="10"/>
    <w:rPr>
      <w:sz w:val="48"/>
      <w:szCs w:val="48"/>
    </w:rPr>
  </w:style>
  <w:style w:type="character" w:styleId="761" w:customStyle="1">
    <w:name w:val="Subtitle Char"/>
    <w:basedOn w:val="750"/>
    <w:uiPriority w:val="11"/>
    <w:rPr>
      <w:sz w:val="24"/>
      <w:szCs w:val="24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character" w:styleId="764" w:customStyle="1">
    <w:name w:val="Caption Char"/>
    <w:uiPriority w:val="99"/>
  </w:style>
  <w:style w:type="table" w:styleId="765">
    <w:name w:val="Plain Table 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5 Dark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>
    <w:name w:val="Grid Table 7 Colorful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>
    <w:name w:val="List Table 7 Colorful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4" w:customStyle="1">
    <w:name w:val="Footnote Text Char"/>
    <w:uiPriority w:val="99"/>
    <w:rPr>
      <w:sz w:val="18"/>
    </w:rPr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Heading 1 Char"/>
    <w:basedOn w:val="750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50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40"/>
    <w:uiPriority w:val="34"/>
    <w:qFormat/>
    <w:pPr>
      <w:contextualSpacing/>
      <w:ind w:left="720"/>
    </w:pPr>
  </w:style>
  <w:style w:type="paragraph" w:styleId="796">
    <w:name w:val="No Spacing"/>
    <w:uiPriority w:val="1"/>
    <w:qFormat/>
  </w:style>
  <w:style w:type="paragraph" w:styleId="797">
    <w:name w:val="Title"/>
    <w:basedOn w:val="740"/>
    <w:next w:val="740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Заголовок Знак"/>
    <w:basedOn w:val="750"/>
    <w:link w:val="797"/>
    <w:uiPriority w:val="10"/>
    <w:rPr>
      <w:sz w:val="48"/>
      <w:szCs w:val="48"/>
    </w:rPr>
  </w:style>
  <w:style w:type="paragraph" w:styleId="799">
    <w:name w:val="Subtitle"/>
    <w:basedOn w:val="740"/>
    <w:next w:val="740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 w:customStyle="1">
    <w:name w:val="Подзаголовок Знак"/>
    <w:basedOn w:val="750"/>
    <w:link w:val="799"/>
    <w:uiPriority w:val="11"/>
    <w:rPr>
      <w:sz w:val="24"/>
      <w:szCs w:val="24"/>
    </w:rPr>
  </w:style>
  <w:style w:type="paragraph" w:styleId="801">
    <w:name w:val="Quote"/>
    <w:basedOn w:val="740"/>
    <w:next w:val="740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40"/>
    <w:next w:val="740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character" w:styleId="805" w:customStyle="1">
    <w:name w:val="Header Char"/>
    <w:basedOn w:val="750"/>
    <w:uiPriority w:val="99"/>
  </w:style>
  <w:style w:type="character" w:styleId="806" w:customStyle="1">
    <w:name w:val="Footer Char"/>
    <w:basedOn w:val="750"/>
    <w:uiPriority w:val="99"/>
  </w:style>
  <w:style w:type="character" w:styleId="807" w:customStyle="1">
    <w:name w:val="Название объекта Знак"/>
    <w:basedOn w:val="750"/>
    <w:link w:val="952"/>
    <w:uiPriority w:val="35"/>
    <w:rPr>
      <w:b/>
      <w:bCs/>
      <w:color w:val="5b9bd5" w:themeColor="accent1"/>
      <w:sz w:val="18"/>
      <w:szCs w:val="18"/>
    </w:rPr>
  </w:style>
  <w:style w:type="table" w:styleId="808" w:customStyle="1">
    <w:name w:val="Table Grid Light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 w:customStyle="1">
    <w:name w:val="Таблица простая 1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21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3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Таблица простая 4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 простая 5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1 светлая1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5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5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5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5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5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5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Таблица-сетка 2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5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5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5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5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5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5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3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5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5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5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5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5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5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41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5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7" w:customStyle="1">
    <w:name w:val="Grid Table 4 - Accent 2"/>
    <w:basedOn w:val="75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5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5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5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1" w:customStyle="1">
    <w:name w:val="Grid Table 4 - Accent 6"/>
    <w:basedOn w:val="75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 w:customStyle="1">
    <w:name w:val="Таблица-сетка 5 темная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9" w:customStyle="1">
    <w:name w:val="Таблица-сетк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5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1" w:customStyle="1">
    <w:name w:val="Grid Table 6 Colorful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5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5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 w:customStyle="1">
    <w:name w:val="Grid Table 6 Colorful - Accent 6"/>
    <w:basedOn w:val="75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 w:customStyle="1">
    <w:name w:val="Таблица-сетка 7 цветная1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basedOn w:val="75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basedOn w:val="75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basedOn w:val="75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basedOn w:val="75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basedOn w:val="75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basedOn w:val="75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1 светлая1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5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5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5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5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5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5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Список-таблица 21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5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5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5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5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5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5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Список-таблица 3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5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5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5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5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4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5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5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5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5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5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5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Список-таблица 5 темная1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5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5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5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5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Список-таблиц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5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0" w:customStyle="1">
    <w:name w:val="List Table 6 Colorful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5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5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4" w:customStyle="1">
    <w:name w:val="List Table 6 Colorful - Accent 6"/>
    <w:basedOn w:val="75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 w:customStyle="1">
    <w:name w:val="Список-таблица 7 цветная1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basedOn w:val="75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basedOn w:val="75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basedOn w:val="75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basedOn w:val="75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basedOn w:val="75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basedOn w:val="75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Lined - Accent 2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Lined - Accent 6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5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5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1" w:customStyle="1">
    <w:name w:val="Bordered &amp; Lined - Accent 2"/>
    <w:basedOn w:val="75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5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5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5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5" w:customStyle="1">
    <w:name w:val="Bordered &amp; Lined - Accent 6"/>
    <w:basedOn w:val="75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5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5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8" w:customStyle="1">
    <w:name w:val="Bordered - Accent 2"/>
    <w:basedOn w:val="75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5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5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5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2" w:customStyle="1">
    <w:name w:val="Bordered - Accent 6"/>
    <w:basedOn w:val="75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3">
    <w:name w:val="footnote text"/>
    <w:basedOn w:val="740"/>
    <w:link w:val="934"/>
    <w:uiPriority w:val="99"/>
    <w:semiHidden/>
    <w:unhideWhenUsed/>
    <w:pPr>
      <w:spacing w:after="40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basedOn w:val="750"/>
    <w:uiPriority w:val="99"/>
    <w:unhideWhenUsed/>
    <w:rPr>
      <w:vertAlign w:val="superscript"/>
    </w:rPr>
  </w:style>
  <w:style w:type="paragraph" w:styleId="936">
    <w:name w:val="endnote text"/>
    <w:basedOn w:val="740"/>
    <w:link w:val="937"/>
    <w:uiPriority w:val="99"/>
    <w:semiHidden/>
    <w:unhideWhenUsed/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50"/>
    <w:uiPriority w:val="99"/>
    <w:semiHidden/>
    <w:unhideWhenUsed/>
    <w:rPr>
      <w:vertAlign w:val="superscript"/>
    </w:rPr>
  </w:style>
  <w:style w:type="paragraph" w:styleId="939">
    <w:name w:val="toc 1"/>
    <w:basedOn w:val="740"/>
    <w:next w:val="740"/>
    <w:uiPriority w:val="39"/>
    <w:unhideWhenUsed/>
    <w:pPr>
      <w:spacing w:after="57"/>
    </w:pPr>
  </w:style>
  <w:style w:type="paragraph" w:styleId="940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41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42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43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44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45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46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47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40"/>
    <w:next w:val="740"/>
    <w:uiPriority w:val="99"/>
    <w:unhideWhenUsed/>
  </w:style>
  <w:style w:type="character" w:styleId="950" w:customStyle="1">
    <w:name w:val="Заголовок 1 Знак"/>
    <w:link w:val="741"/>
    <w:rPr>
      <w:sz w:val="24"/>
    </w:rPr>
  </w:style>
  <w:style w:type="character" w:styleId="951" w:customStyle="1">
    <w:name w:val="Заголовок 2 Знак"/>
    <w:link w:val="742"/>
    <w:rPr>
      <w:sz w:val="24"/>
    </w:rPr>
  </w:style>
  <w:style w:type="paragraph" w:styleId="952">
    <w:name w:val="Caption"/>
    <w:basedOn w:val="740"/>
    <w:next w:val="740"/>
    <w:link w:val="80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53">
    <w:name w:val="Body Text"/>
    <w:basedOn w:val="740"/>
    <w:link w:val="954"/>
    <w:pPr>
      <w:ind w:right="3117"/>
    </w:pPr>
    <w:rPr>
      <w:rFonts w:ascii="Courier New" w:hAnsi="Courier New"/>
      <w:sz w:val="26"/>
    </w:rPr>
  </w:style>
  <w:style w:type="character" w:styleId="954" w:customStyle="1">
    <w:name w:val="Основной текст Знак"/>
    <w:link w:val="953"/>
    <w:rPr>
      <w:rFonts w:ascii="Courier New" w:hAnsi="Courier New"/>
      <w:sz w:val="26"/>
    </w:rPr>
  </w:style>
  <w:style w:type="paragraph" w:styleId="955">
    <w:name w:val="Body Text Indent"/>
    <w:basedOn w:val="740"/>
    <w:link w:val="956"/>
    <w:pPr>
      <w:ind w:right="-1"/>
      <w:jc w:val="both"/>
    </w:pPr>
    <w:rPr>
      <w:sz w:val="26"/>
    </w:rPr>
  </w:style>
  <w:style w:type="character" w:styleId="956" w:customStyle="1">
    <w:name w:val="Основной текст с отступом Знак"/>
    <w:link w:val="955"/>
    <w:rPr>
      <w:sz w:val="26"/>
    </w:rPr>
  </w:style>
  <w:style w:type="paragraph" w:styleId="957">
    <w:name w:val="Footer"/>
    <w:basedOn w:val="740"/>
    <w:link w:val="958"/>
    <w:uiPriority w:val="99"/>
    <w:pPr>
      <w:tabs>
        <w:tab w:val="center" w:pos="4153" w:leader="none"/>
        <w:tab w:val="right" w:pos="8306" w:leader="none"/>
      </w:tabs>
    </w:pPr>
  </w:style>
  <w:style w:type="character" w:styleId="958" w:customStyle="1">
    <w:name w:val="Нижний колонтитул Знак"/>
    <w:basedOn w:val="750"/>
    <w:link w:val="957"/>
    <w:uiPriority w:val="99"/>
  </w:style>
  <w:style w:type="character" w:styleId="959">
    <w:name w:val="page number"/>
    <w:basedOn w:val="750"/>
  </w:style>
  <w:style w:type="paragraph" w:styleId="960">
    <w:name w:val="Header"/>
    <w:basedOn w:val="740"/>
    <w:link w:val="961"/>
    <w:uiPriority w:val="99"/>
    <w:pPr>
      <w:tabs>
        <w:tab w:val="center" w:pos="4153" w:leader="none"/>
        <w:tab w:val="right" w:pos="8306" w:leader="none"/>
      </w:tabs>
    </w:pPr>
  </w:style>
  <w:style w:type="character" w:styleId="961" w:customStyle="1">
    <w:name w:val="Верхний колонтитул Знак"/>
    <w:link w:val="960"/>
    <w:uiPriority w:val="99"/>
  </w:style>
  <w:style w:type="paragraph" w:styleId="962">
    <w:name w:val="Balloon Text"/>
    <w:basedOn w:val="740"/>
    <w:link w:val="963"/>
    <w:rPr>
      <w:rFonts w:ascii="Segoe UI" w:hAnsi="Segoe UI"/>
      <w:sz w:val="18"/>
      <w:szCs w:val="18"/>
    </w:rPr>
  </w:style>
  <w:style w:type="character" w:styleId="963" w:customStyle="1">
    <w:name w:val="Текст выноски Знак"/>
    <w:link w:val="962"/>
    <w:rPr>
      <w:rFonts w:ascii="Segoe UI" w:hAnsi="Segoe UI" w:cs="Segoe UI"/>
      <w:sz w:val="18"/>
      <w:szCs w:val="18"/>
    </w:rPr>
  </w:style>
  <w:style w:type="paragraph" w:styleId="964" w:customStyle="1">
    <w:name w:val="Форма"/>
    <w:rPr>
      <w:sz w:val="28"/>
      <w:szCs w:val="28"/>
    </w:rPr>
  </w:style>
  <w:style w:type="paragraph" w:styleId="965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66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967">
    <w:name w:val="Hyperlink"/>
    <w:uiPriority w:val="99"/>
    <w:unhideWhenUsed/>
    <w:rPr>
      <w:color w:val="0000ff"/>
      <w:u w:val="single"/>
    </w:rPr>
  </w:style>
  <w:style w:type="table" w:styleId="968">
    <w:name w:val="Table Grid"/>
    <w:basedOn w:val="7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Normal (Web)"/>
    <w:basedOn w:val="74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E1B47-EBF4-4CC3-AFFF-28C58B03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shukhardina-ev</cp:lastModifiedBy>
  <cp:revision>7</cp:revision>
  <dcterms:created xsi:type="dcterms:W3CDTF">2025-08-13T12:05:00Z</dcterms:created>
  <dcterms:modified xsi:type="dcterms:W3CDTF">2025-09-25T09:33:15Z</dcterms:modified>
</cp:coreProperties>
</file>