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ограниченной ул. Тихой,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ул. Рабоче-Крестьянской,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ул. Орской, ул. Николая Островского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Свердловском 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09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31-02-1-4-2566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территории, ограниченной ул. Тихой, ул. Рабоче-Крестьянской, </w:t>
        <w:br/>
        <w:t xml:space="preserve">ул. Орской, ул. Николая Островского в Свердловском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15 сентября</w:t>
      </w:r>
      <w:r>
        <w:rPr>
          <w:sz w:val="28"/>
          <w:szCs w:val="28"/>
          <w:highlight w:val="white"/>
        </w:rPr>
        <w:t xml:space="preserve"> 2025 г. № 31-07-1-5исх-</w:t>
      </w:r>
      <w:r>
        <w:rPr>
          <w:sz w:val="28"/>
          <w:szCs w:val="28"/>
          <w:highlight w:val="white"/>
        </w:rPr>
        <w:t xml:space="preserve">1066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</w:t>
        <w:br/>
        <w:t xml:space="preserve">и проекта межевания территории, ограниченной ул. Тихой, ул. Рабоче-Крестьянской, ул. Орской, ул. Николая Островского в Свердловском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04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территории, ограниченной ул. Тихой, ул. Рабоче-Крестьянской, ул. Орской, ул. Николая Островского в Свердловском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Свердловского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07 октября </w:t>
      </w:r>
      <w:r>
        <w:rPr>
          <w:sz w:val="28"/>
          <w:szCs w:val="28"/>
          <w:highlight w:val="white"/>
        </w:rPr>
        <w:t xml:space="preserve">2025 г. </w:t>
      </w:r>
      <w:r>
        <w:rPr>
          <w:sz w:val="28"/>
          <w:szCs w:val="28"/>
          <w:highlight w:val="white"/>
        </w:rPr>
        <w:br/>
        <w:t xml:space="preserve">по 10 октября 2025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08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17.20 час. до 17.40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</w:t>
        <w:br/>
        <w:t xml:space="preserve">ул. Сибирская, </w:t>
      </w:r>
      <w:r>
        <w:rPr>
          <w:color w:val="000000"/>
          <w:sz w:val="28"/>
          <w:szCs w:val="28"/>
        </w:rPr>
        <w:t xml:space="preserve">58, </w:t>
      </w:r>
      <w:r>
        <w:rPr>
          <w:color w:val="000000"/>
          <w:sz w:val="28"/>
          <w:szCs w:val="28"/>
        </w:rPr>
        <w:t xml:space="preserve">каб</w:t>
      </w:r>
      <w:r>
        <w:rPr>
          <w:color w:val="000000"/>
          <w:sz w:val="28"/>
          <w:szCs w:val="28"/>
        </w:rPr>
        <w:t xml:space="preserve">. 101, </w:t>
      </w:r>
      <w:r>
        <w:rPr>
          <w:color w:val="000000"/>
          <w:sz w:val="28"/>
          <w:szCs w:val="28"/>
        </w:rPr>
        <w:t xml:space="preserve">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07 октября 2025 г. по 10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10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34</cp:revision>
  <dcterms:created xsi:type="dcterms:W3CDTF">2024-10-25T06:16:00Z</dcterms:created>
  <dcterms:modified xsi:type="dcterms:W3CDTF">2025-09-23T13:02:37Z</dcterms:modified>
</cp:coreProperties>
</file>