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1905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рассмотрению проекта о внесении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14 марта </w:t>
      </w:r>
      <w:r>
        <w:rPr>
          <w:color w:val="000000"/>
          <w:sz w:val="28"/>
          <w:szCs w:val="28"/>
        </w:rPr>
        <w:t xml:space="preserve">2022 г. </w:t>
        <w:br/>
      </w:r>
      <w:r>
        <w:rPr>
          <w:color w:val="000000"/>
          <w:sz w:val="28"/>
          <w:szCs w:val="28"/>
        </w:rPr>
        <w:t xml:space="preserve">№ 58-ФЗ «О внесени</w:t>
      </w:r>
      <w:r>
        <w:rPr>
          <w:color w:val="000000"/>
          <w:sz w:val="28"/>
          <w:szCs w:val="28"/>
        </w:rPr>
        <w:t xml:space="preserve">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sz w:val="28"/>
          <w:szCs w:val="28"/>
        </w:rPr>
        <w:t xml:space="preserve">и градострои</w:t>
      </w:r>
      <w:r>
        <w:rPr>
          <w:sz w:val="28"/>
          <w:szCs w:val="28"/>
        </w:rPr>
        <w:t xml:space="preserve">тельной деятельности Пермского края от 30 декабря 2020 г. </w:t>
      </w:r>
      <w:r>
        <w:rPr>
          <w:sz w:val="28"/>
          <w:szCs w:val="28"/>
        </w:rPr>
        <w:t xml:space="preserve">№ 31-02-1-4-1037, </w:t>
      </w:r>
      <w:hyperlink r:id="rId12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</w:rPr>
          <w:t xml:space="preserve">Устава</w:t>
        </w:r>
      </w:hyperlink>
      <w:r>
        <w:rPr>
          <w:sz w:val="28"/>
          <w:szCs w:val="28"/>
        </w:rPr>
        <w:t xml:space="preserve"> города Перми, </w:t>
      </w:r>
      <w:hyperlink r:id="rId13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  <w:br/>
      </w:r>
      <w:r>
        <w:rPr>
          <w:sz w:val="28"/>
          <w:szCs w:val="28"/>
        </w:rPr>
        <w:t xml:space="preserve">от 26 июня 2007 г. </w:t>
      </w:r>
      <w:r>
        <w:rPr>
          <w:sz w:val="28"/>
          <w:szCs w:val="28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</w:t>
      </w:r>
      <w:r>
        <w:rPr>
          <w:sz w:val="28"/>
          <w:szCs w:val="28"/>
        </w:rPr>
        <w:t xml:space="preserve">от 26 ап</w:t>
      </w:r>
      <w:r>
        <w:rPr>
          <w:sz w:val="28"/>
          <w:szCs w:val="28"/>
        </w:rPr>
        <w:t xml:space="preserve">реля 2022 г. </w:t>
      </w:r>
      <w:r>
        <w:rPr>
          <w:sz w:val="28"/>
          <w:szCs w:val="28"/>
        </w:rPr>
        <w:t xml:space="preserve">№ 83, заключения </w:t>
      </w:r>
      <w:r>
        <w:rPr>
          <w:rFonts w:eastAsia="Calibri"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подготовке проекта правил землепользования </w:t>
      </w:r>
      <w:r>
        <w:rPr>
          <w:sz w:val="28"/>
          <w:szCs w:val="28"/>
        </w:rPr>
        <w:t xml:space="preserve">и застройки Пермского городского округа </w:t>
      </w:r>
      <w:r>
        <w:rPr>
          <w:sz w:val="28"/>
          <w:szCs w:val="28"/>
        </w:rPr>
        <w:t xml:space="preserve">с рекомендациями о готовности проекта</w:t>
      </w:r>
      <w:r>
        <w:rPr>
          <w:sz w:val="28"/>
          <w:szCs w:val="28"/>
        </w:rPr>
        <w:t xml:space="preserve"> о внесении</w:t>
      </w:r>
      <w:r>
        <w:rPr>
          <w:sz w:val="28"/>
          <w:szCs w:val="28"/>
        </w:rPr>
        <w:t xml:space="preserve"> изменений в Правил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землепользования и застройки города Перми </w:t>
      </w:r>
      <w:r>
        <w:rPr>
          <w:sz w:val="28"/>
          <w:szCs w:val="28"/>
          <w:shd w:val="clear" w:color="auto" w:fill="ffffff"/>
        </w:rPr>
        <w:t xml:space="preserve">к рассмотрению </w:t>
      </w:r>
      <w:r>
        <w:rPr>
          <w:sz w:val="28"/>
          <w:szCs w:val="28"/>
          <w:shd w:val="clear" w:color="auto" w:fill="ffffff"/>
        </w:rPr>
        <w:t xml:space="preserve">на общественных обсуждения</w:t>
      </w:r>
      <w:r>
        <w:rPr>
          <w:sz w:val="28"/>
          <w:szCs w:val="28"/>
          <w:highlight w:val="white"/>
          <w:shd w:val="clear" w:color="auto" w:fill="ffffff"/>
        </w:rPr>
        <w:t xml:space="preserve">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26</w:t>
      </w:r>
      <w:r>
        <w:rPr>
          <w:sz w:val="28"/>
          <w:szCs w:val="28"/>
          <w:highlight w:val="white"/>
        </w:rPr>
        <w:t xml:space="preserve">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</w:r>
      <w:r>
        <w:rPr>
          <w:sz w:val="28"/>
          <w:szCs w:val="28"/>
          <w:highlight w:val="white"/>
        </w:rPr>
        <w:t xml:space="preserve">№ </w:t>
      </w:r>
      <w:r>
        <w:rPr>
          <w:sz w:val="28"/>
          <w:szCs w:val="28"/>
          <w:highlight w:val="white"/>
        </w:rPr>
        <w:t xml:space="preserve">31-07-1-3исх-</w:t>
      </w:r>
      <w:r>
        <w:rPr>
          <w:sz w:val="28"/>
          <w:szCs w:val="28"/>
          <w:highlight w:val="white"/>
        </w:rPr>
        <w:t xml:space="preserve">474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 проекта </w:t>
      </w:r>
      <w:r>
        <w:rPr>
          <w:sz w:val="28"/>
          <w:szCs w:val="28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(далее − Проект), </w:t>
      </w:r>
      <w:r>
        <w:rPr>
          <w:sz w:val="28"/>
          <w:szCs w:val="28"/>
        </w:rPr>
        <w:t xml:space="preserve">в части: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1.1. </w:t>
      </w:r>
      <w:r>
        <w:rPr>
          <w:sz w:val="28"/>
          <w:szCs w:val="28"/>
          <w:highlight w:val="white"/>
        </w:rPr>
        <w:t xml:space="preserve">установления границ </w:t>
      </w:r>
      <w:r>
        <w:rPr>
          <w:sz w:val="28"/>
          <w:szCs w:val="28"/>
          <w:highlight w:val="white"/>
        </w:rPr>
        <w:t xml:space="preserve">подзон Ц-2 (В 24 эт), (П 4,15) территориальной зоны обслуживания и деловой активности местного значения (Ц-2) в отношении земельного участка с кадастровым номером 59:01:1713127:7, расположенного по ул. Ушакова, 34 в Кировском районе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  <w:highlight w:val="white"/>
        </w:rPr>
        <w:t xml:space="preserve">установления границ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дзон Ц-1 (В 23 эт), (П 2,3) территориальной зоны обслуживания и деловой активности городского центра (Ц-1) в отношении земельного участка с кадастровым номером 59:01:4410763:39, расположенного </w:t>
        <w:br/>
        <w:t xml:space="preserve">по проспекту Декабристов, з/у 97 в Индустриальном районе город</w:t>
      </w:r>
      <w:r>
        <w:rPr>
          <w:sz w:val="28"/>
          <w:szCs w:val="28"/>
          <w:highlight w:val="white"/>
        </w:rPr>
        <w:t xml:space="preserve">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1.3. </w:t>
      </w:r>
      <w:r>
        <w:rPr>
          <w:sz w:val="28"/>
          <w:szCs w:val="28"/>
          <w:highlight w:val="white"/>
        </w:rPr>
        <w:t xml:space="preserve">дополнения </w:t>
      </w:r>
      <w:r>
        <w:rPr>
          <w:sz w:val="28"/>
          <w:szCs w:val="28"/>
          <w:highlight w:val="white"/>
        </w:rPr>
        <w:t xml:space="preserve">перечня территориальных зон и подзон, установленных </w:t>
        <w:br/>
        <w:t xml:space="preserve">на карте градостроительного зонирования города Перми</w:t>
      </w:r>
      <w:r>
        <w:rPr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становленного </w:t>
        <w:br/>
        <w:t xml:space="preserve">статьей 52 </w:t>
      </w:r>
      <w:r>
        <w:rPr>
          <w:sz w:val="28"/>
          <w:szCs w:val="28"/>
          <w:highlight w:val="white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подзонами</w:t>
      </w:r>
      <w:r>
        <w:rPr>
          <w:sz w:val="28"/>
          <w:szCs w:val="28"/>
          <w:highlight w:val="white"/>
        </w:rPr>
        <w:t xml:space="preserve"> Ц-1 </w:t>
        <w:br/>
        <w:t xml:space="preserve">(В 23 эт</w:t>
      </w:r>
      <w:r>
        <w:rPr>
          <w:sz w:val="28"/>
          <w:szCs w:val="28"/>
          <w:highlight w:val="white"/>
        </w:rPr>
        <w:t xml:space="preserve">), Ц-1 (П 2,3), Ц-2 (П 4,15)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дополнения градостроительного регламента территориальной зоны обслуживания и деловой активности городского центра (Ц-1), </w:t>
      </w:r>
      <w:r>
        <w:rPr>
          <w:sz w:val="28"/>
          <w:szCs w:val="28"/>
          <w:highlight w:val="none"/>
        </w:rPr>
        <w:t xml:space="preserve">установленного статьей 52.1 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  <w:highlight w:val="none"/>
        </w:rPr>
        <w:t xml:space="preserve">, подзонами </w:t>
        <w:br/>
        <w:t xml:space="preserve">Ц-1 (В 23 эт), Ц-1 (П 2,3);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1.5. </w:t>
      </w:r>
      <w:r>
        <w:rPr>
          <w:sz w:val="28"/>
          <w:szCs w:val="28"/>
          <w:highlight w:val="white"/>
        </w:rPr>
        <w:t xml:space="preserve">дополнения градостроительного регламента территориальной зоны </w:t>
      </w:r>
      <w:r>
        <w:rPr>
          <w:sz w:val="28"/>
          <w:szCs w:val="28"/>
          <w:highlight w:val="white"/>
        </w:rPr>
        <w:t xml:space="preserve">обслуживания и деловой активности местного значения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Ц-2),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становленного статьей 52.1 </w:t>
      </w:r>
      <w:r>
        <w:rPr>
          <w:sz w:val="28"/>
          <w:szCs w:val="28"/>
          <w:highlight w:val="white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  <w:highlight w:val="white"/>
        </w:rPr>
        <w:t xml:space="preserve">, подзоной</w:t>
      </w:r>
      <w:r>
        <w:rPr>
          <w:sz w:val="28"/>
          <w:szCs w:val="28"/>
          <w:highlight w:val="white"/>
        </w:rPr>
        <w:t xml:space="preserve"> </w:t>
        <w:br/>
        <w:t xml:space="preserve">Ц-2 (П 4,15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</w:t>
      </w:r>
      <w:r>
        <w:rPr>
          <w:sz w:val="28"/>
          <w:szCs w:val="28"/>
        </w:rPr>
        <w:t xml:space="preserve">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 не ранее чем через </w:t>
      </w:r>
      <w:r>
        <w:rPr>
          <w:sz w:val="28"/>
          <w:szCs w:val="28"/>
        </w:rPr>
        <w:t xml:space="preserve">7 дней, </w:t>
      </w:r>
      <w:r>
        <w:rPr>
          <w:sz w:val="28"/>
          <w:szCs w:val="28"/>
        </w:rPr>
        <w:t xml:space="preserve">но не позднее </w:t>
      </w:r>
      <w:r>
        <w:rPr>
          <w:sz w:val="28"/>
          <w:szCs w:val="28"/>
        </w:rPr>
        <w:t xml:space="preserve">чем через 10 дней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eastAsia="Calibri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eastAsia="Calibri"/>
          <w:bCs/>
          <w:sz w:val="28"/>
          <w:szCs w:val="28"/>
          <w:lang w:eastAsia="en-US"/>
        </w:rPr>
        <w:t xml:space="preserve">у: </w:t>
      </w:r>
      <w:hyperlink r:id="rId14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 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администрациях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(далее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sz w:val="28"/>
          <w:szCs w:val="28"/>
        </w:rPr>
        <w:t xml:space="preserve">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sz w:val="28"/>
          <w:szCs w:val="28"/>
        </w:rPr>
        <w:t xml:space="preserve">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sz w:val="28"/>
          <w:szCs w:val="28"/>
        </w:rPr>
        <w:t xml:space="preserve">я город Пермь»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комиссию по п</w:t>
      </w:r>
      <w:r>
        <w:rPr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sz w:val="28"/>
          <w:szCs w:val="28"/>
        </w:rPr>
        <w:t xml:space="preserve">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10 октября 2025 г. по 13 октября </w:t>
        <w:br/>
        <w:t xml:space="preserve">2025 г.: понедельник − с 09.00 час. до 18.00 час., пятница − с 09.00 час. 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  <w:highlight w:val="white"/>
        </w:rPr>
        <w:t xml:space="preserve">Мотовилихинского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  <w:highlight w:val="white"/>
        </w:rPr>
        <w:br/>
        <w:t xml:space="preserve">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614000, г. Пермь, </w:t>
      </w:r>
      <w:r>
        <w:rPr>
          <w:color w:val="000000"/>
          <w:sz w:val="28"/>
          <w:szCs w:val="28"/>
          <w:highlight w:val="white"/>
        </w:rPr>
        <w:t xml:space="preserve">ул. </w:t>
      </w:r>
      <w:r>
        <w:rPr>
          <w:color w:val="000000"/>
          <w:sz w:val="28"/>
          <w:szCs w:val="28"/>
          <w:highlight w:val="white"/>
        </w:rPr>
        <w:t xml:space="preserve">Пермская, 57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614105, г. Пермь, микрорайон Новые </w:t>
      </w:r>
      <w:r>
        <w:rPr>
          <w:sz w:val="28"/>
          <w:szCs w:val="28"/>
          <w:highlight w:val="white"/>
        </w:rPr>
        <w:t xml:space="preserve">Ляды</w:t>
      </w:r>
      <w:r>
        <w:rPr>
          <w:sz w:val="28"/>
          <w:szCs w:val="28"/>
          <w:highlight w:val="white"/>
        </w:rPr>
        <w:t xml:space="preserve">, ул. Транспортная, 2, администрация поселка Новые </w:t>
      </w:r>
      <w:r>
        <w:rPr>
          <w:sz w:val="28"/>
          <w:szCs w:val="28"/>
          <w:highlight w:val="white"/>
        </w:rPr>
        <w:t xml:space="preserve">Ляды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614068</w:t>
      </w:r>
      <w:r>
        <w:rPr>
          <w:color w:val="000000"/>
          <w:sz w:val="28"/>
          <w:szCs w:val="28"/>
          <w:highlight w:val="white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614101,</w:t>
      </w:r>
      <w:r>
        <w:rPr>
          <w:sz w:val="28"/>
          <w:szCs w:val="28"/>
          <w:highlight w:val="white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  <w:highlight w:val="whit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13 октября 2025 г. с 17.20 час. до 17.40 </w:t>
      </w:r>
      <w:r>
        <w:rPr>
          <w:sz w:val="28"/>
          <w:szCs w:val="28"/>
          <w:highlight w:val="white"/>
        </w:rPr>
        <w:t xml:space="preserve">час. по адресам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24, </w:t>
      </w:r>
      <w:r>
        <w:rPr>
          <w:color w:val="000000"/>
          <w:sz w:val="28"/>
          <w:szCs w:val="28"/>
          <w:highlight w:val="white"/>
        </w:rPr>
        <w:t xml:space="preserve">актовый зал, </w:t>
      </w:r>
      <w:r>
        <w:rPr>
          <w:color w:val="000000"/>
          <w:sz w:val="28"/>
          <w:szCs w:val="28"/>
          <w:highlight w:val="white"/>
        </w:rPr>
        <w:t xml:space="preserve">администрация Орджоникидзевского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highlight w:val="white"/>
        </w:rPr>
        <w:t xml:space="preserve">614014, г. Пермь, ул. Уральская, </w:t>
      </w:r>
      <w:r>
        <w:rPr>
          <w:color w:val="000000"/>
          <w:sz w:val="28"/>
          <w:highlight w:val="white"/>
        </w:rPr>
        <w:t xml:space="preserve">36,</w:t>
      </w:r>
      <w:r>
        <w:rPr>
          <w:color w:val="000000"/>
          <w:sz w:val="28"/>
          <w:highlight w:val="white"/>
        </w:rPr>
        <w:t xml:space="preserve"> каб. 103,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highlight w:val="white"/>
        </w:rPr>
        <w:t xml:space="preserve">Мотовилихинского</w:t>
      </w:r>
      <w:r>
        <w:rPr>
          <w:color w:val="000000"/>
          <w:sz w:val="28"/>
          <w:highlight w:val="white"/>
        </w:rPr>
        <w:t xml:space="preserve"> района города Перми;</w:t>
      </w:r>
      <w:r>
        <w:rPr>
          <w:color w:val="000000"/>
          <w:sz w:val="28"/>
          <w:highlight w:val="white"/>
        </w:rPr>
      </w:r>
      <w:r>
        <w:rPr>
          <w:color w:val="000000"/>
          <w:sz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614095, г. Пермь, ул. Мира, 15,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(конференц-зал), </w:t>
      </w:r>
      <w:r>
        <w:rPr>
          <w:color w:val="000000"/>
          <w:sz w:val="28"/>
          <w:szCs w:val="28"/>
          <w:highlight w:val="white"/>
        </w:rPr>
        <w:t xml:space="preserve">администрация Инду</w:t>
      </w:r>
      <w:r>
        <w:rPr>
          <w:color w:val="000000"/>
          <w:sz w:val="28"/>
          <w:szCs w:val="28"/>
          <w:highlight w:val="white"/>
        </w:rPr>
        <w:t xml:space="preserve">стриального района города Перми;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614000, г. Пермь, </w:t>
      </w:r>
      <w:r>
        <w:rPr>
          <w:color w:val="000000"/>
          <w:sz w:val="28"/>
          <w:szCs w:val="28"/>
          <w:highlight w:val="white"/>
        </w:rPr>
        <w:t xml:space="preserve">ул. </w:t>
      </w:r>
      <w:r>
        <w:rPr>
          <w:color w:val="000000"/>
          <w:sz w:val="28"/>
          <w:szCs w:val="28"/>
          <w:highlight w:val="white"/>
        </w:rPr>
        <w:t xml:space="preserve">Пермская, </w:t>
      </w:r>
      <w:r>
        <w:rPr>
          <w:color w:val="000000"/>
          <w:sz w:val="28"/>
          <w:szCs w:val="28"/>
          <w:highlight w:val="white"/>
        </w:rPr>
        <w:t xml:space="preserve">57,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15, администрация Ленинского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614105, г. Пермь, микрорайон Новые </w:t>
      </w:r>
      <w:r>
        <w:rPr>
          <w:sz w:val="28"/>
          <w:szCs w:val="28"/>
          <w:highlight w:val="white"/>
        </w:rPr>
        <w:t xml:space="preserve">Ляды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ул. Транспортная, 2, </w:t>
      </w:r>
      <w:r>
        <w:rPr>
          <w:sz w:val="28"/>
          <w:szCs w:val="28"/>
          <w:highlight w:val="white"/>
        </w:rPr>
        <w:t xml:space="preserve">каб</w:t>
      </w:r>
      <w:r>
        <w:rPr>
          <w:sz w:val="28"/>
          <w:szCs w:val="28"/>
          <w:highlight w:val="white"/>
        </w:rPr>
        <w:t xml:space="preserve">. 213, </w:t>
      </w:r>
      <w:r>
        <w:rPr>
          <w:sz w:val="28"/>
          <w:szCs w:val="28"/>
          <w:highlight w:val="white"/>
        </w:rPr>
        <w:t xml:space="preserve">администрация поселка Новые </w:t>
      </w:r>
      <w:r>
        <w:rPr>
          <w:sz w:val="28"/>
          <w:szCs w:val="28"/>
          <w:highlight w:val="white"/>
        </w:rPr>
        <w:t xml:space="preserve">Ляды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highlight w:val="white"/>
        </w:rPr>
        <w:t xml:space="preserve">614068</w:t>
      </w:r>
      <w:r>
        <w:rPr>
          <w:color w:val="000000"/>
          <w:sz w:val="28"/>
          <w:highlight w:val="white"/>
        </w:rPr>
        <w:t xml:space="preserve">, г. Пермь, ул. Ленина, </w:t>
      </w:r>
      <w:r>
        <w:rPr>
          <w:color w:val="000000"/>
          <w:sz w:val="28"/>
          <w:highlight w:val="white"/>
        </w:rPr>
        <w:t xml:space="preserve">85,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12, </w:t>
      </w:r>
      <w:r>
        <w:rPr>
          <w:color w:val="000000"/>
          <w:sz w:val="28"/>
          <w:highlight w:val="white"/>
        </w:rPr>
        <w:t xml:space="preserve">администрация Дзержинского района города Перми;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614101</w:t>
      </w:r>
      <w:r>
        <w:rPr>
          <w:sz w:val="28"/>
          <w:szCs w:val="28"/>
          <w:highlight w:val="white"/>
        </w:rPr>
        <w:t xml:space="preserve">, г. Пермь, ул. Кировоградская,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33, </w:t>
      </w:r>
      <w:r>
        <w:rPr>
          <w:sz w:val="28"/>
          <w:szCs w:val="28"/>
          <w:highlight w:val="white"/>
        </w:rPr>
        <w:t xml:space="preserve">каб</w:t>
      </w:r>
      <w:r>
        <w:rPr>
          <w:sz w:val="28"/>
          <w:szCs w:val="28"/>
          <w:highlight w:val="white"/>
        </w:rPr>
        <w:t xml:space="preserve">. 9, </w:t>
      </w:r>
      <w:r>
        <w:rPr>
          <w:sz w:val="28"/>
          <w:szCs w:val="28"/>
          <w:highlight w:val="white"/>
        </w:rPr>
        <w:t xml:space="preserve">администрация Кировского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ул. Сибирская, </w:t>
      </w:r>
      <w:r>
        <w:rPr>
          <w:color w:val="000000"/>
          <w:sz w:val="28"/>
          <w:szCs w:val="28"/>
          <w:highlight w:val="white"/>
        </w:rPr>
        <w:t xml:space="preserve">58,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101, </w:t>
      </w:r>
      <w:r>
        <w:rPr>
          <w:color w:val="000000"/>
          <w:sz w:val="28"/>
          <w:szCs w:val="28"/>
          <w:highlight w:val="white"/>
        </w:rPr>
        <w:t xml:space="preserve">администрация Св</w:t>
      </w:r>
      <w:r>
        <w:rPr>
          <w:color w:val="000000"/>
          <w:sz w:val="28"/>
          <w:szCs w:val="28"/>
          <w:highlight w:val="white"/>
        </w:rPr>
        <w:t xml:space="preserve">ердловского района города Перми;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sz w:val="28"/>
          <w:szCs w:val="28"/>
        </w:rPr>
        <w:t xml:space="preserve">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</w:t>
      </w:r>
      <w:r>
        <w:rPr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</w:t>
      </w:r>
      <w:r>
        <w:rPr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(при наличии), дату рождения, адрес места жительства (регистрации) − для физи</w:t>
      </w:r>
      <w:r>
        <w:rPr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sz w:val="28"/>
          <w:szCs w:val="28"/>
        </w:rPr>
        <w:t xml:space="preserve"> по Проекту по форме согласно приложению 1 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по вопросам градостроительной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color w:val="000000"/>
          <w:sz w:val="28"/>
          <w:szCs w:val="28"/>
          <w:highlight w:val="white"/>
        </w:rPr>
        <w:t xml:space="preserve"> 10 октября</w:t>
      </w:r>
      <w:r>
        <w:rPr>
          <w:color w:val="000000"/>
          <w:sz w:val="28"/>
          <w:szCs w:val="28"/>
          <w:highlight w:val="white"/>
        </w:rPr>
        <w:t xml:space="preserve"> 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 по 13</w:t>
      </w:r>
      <w:r>
        <w:rPr>
          <w:color w:val="000000"/>
          <w:sz w:val="28"/>
          <w:szCs w:val="28"/>
          <w:highlight w:val="white"/>
        </w:rPr>
        <w:t xml:space="preserve">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2025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г.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sz w:val="28"/>
          <w:szCs w:val="28"/>
          <w:highlight w:val="white"/>
        </w:rPr>
        <w:t xml:space="preserve">ционных материалов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к нему на Официальном сайте по</w:t>
      </w:r>
      <w:r>
        <w:rPr>
          <w:sz w:val="28"/>
          <w:szCs w:val="28"/>
          <w:highlight w:val="white"/>
        </w:rPr>
        <w:t xml:space="preserve"> 13</w:t>
      </w:r>
      <w:r>
        <w:rPr>
          <w:color w:val="000000"/>
          <w:sz w:val="28"/>
          <w:szCs w:val="28"/>
          <w:highlight w:val="white"/>
        </w:rPr>
        <w:t xml:space="preserve"> октября</w:t>
      </w:r>
      <w:r>
        <w:rPr>
          <w:color w:val="000000"/>
          <w:sz w:val="28"/>
          <w:szCs w:val="28"/>
          <w:highlight w:val="white"/>
        </w:rPr>
        <w:t xml:space="preserve"> 2025</w:t>
      </w:r>
      <w:r>
        <w:rPr>
          <w:color w:val="000000"/>
          <w:sz w:val="28"/>
          <w:szCs w:val="28"/>
          <w:highlight w:val="white"/>
        </w:rPr>
        <w:t xml:space="preserve">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Arial" w:hAnsi="Arial" w:cs="Arial"/>
          <w:color w:val="000000"/>
          <w:sz w:val="23"/>
          <w:szCs w:val="23"/>
          <w:shd w:val="clear" w:color="auto" w:fill="f7f7f7"/>
        </w:rPr>
        <w:t xml:space="preserve"> </w:t>
      </w:r>
      <w:r>
        <w:rPr>
          <w:sz w:val="28"/>
          <w:szCs w:val="28"/>
        </w:rPr>
        <w:t xml:space="preserve">dga@perm.permkrai.ru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</w:t>
      </w:r>
      <w:r>
        <w:rPr>
          <w:sz w:val="28"/>
          <w:szCs w:val="28"/>
        </w:rPr>
        <w:t xml:space="preserve">официального опубликования</w:t>
      </w:r>
      <w:r>
        <w:rPr>
          <w:sz w:val="28"/>
          <w:szCs w:val="28"/>
        </w:rPr>
        <w:t xml:space="preserve"> в печатном средстве </w:t>
      </w:r>
      <w:r>
        <w:rPr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</w:t>
      </w:r>
      <w:r>
        <w:rPr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881"/>
    <w:link w:val="884"/>
    <w:uiPriority w:val="99"/>
  </w:style>
  <w:style w:type="character" w:styleId="702">
    <w:name w:val="Footnote Text Char"/>
    <w:link w:val="864"/>
    <w:uiPriority w:val="99"/>
    <w:rPr>
      <w:sz w:val="18"/>
    </w:rPr>
  </w:style>
  <w:style w:type="character" w:styleId="703">
    <w:name w:val="Endnote Text Char"/>
    <w:link w:val="867"/>
    <w:uiPriority w:val="99"/>
    <w:rPr>
      <w:sz w:val="20"/>
    </w:rPr>
  </w:style>
  <w:style w:type="paragraph" w:styleId="704" w:default="1">
    <w:name w:val="Normal"/>
    <w:qFormat/>
  </w:style>
  <w:style w:type="paragraph" w:styleId="705">
    <w:name w:val="Heading 1"/>
    <w:basedOn w:val="704"/>
    <w:next w:val="704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Название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character" w:styleId="736" w:customStyle="1">
    <w:name w:val="Footer Char"/>
    <w:basedOn w:val="714"/>
    <w:uiPriority w:val="99"/>
  </w:style>
  <w:style w:type="character" w:styleId="737" w:customStyle="1">
    <w:name w:val="Нижний колонтитул Знак"/>
    <w:link w:val="884"/>
    <w:uiPriority w:val="99"/>
  </w:style>
  <w:style w:type="table" w:styleId="738">
    <w:name w:val="Table Grid"/>
    <w:basedOn w:val="7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4">
    <w:name w:val="footnote text"/>
    <w:basedOn w:val="704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4"/>
    <w:uiPriority w:val="99"/>
    <w:unhideWhenUsed/>
    <w:rPr>
      <w:vertAlign w:val="superscript"/>
    </w:rPr>
  </w:style>
  <w:style w:type="paragraph" w:styleId="867">
    <w:name w:val="endnote text"/>
    <w:basedOn w:val="704"/>
    <w:link w:val="868"/>
    <w:uiPriority w:val="99"/>
    <w:semiHidden/>
    <w:unhideWhenUsed/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4"/>
    <w:uiPriority w:val="99"/>
    <w:semiHidden/>
    <w:unhideWhenUsed/>
    <w:rPr>
      <w:vertAlign w:val="superscript"/>
    </w:rPr>
  </w:style>
  <w:style w:type="paragraph" w:styleId="870">
    <w:name w:val="toc 1"/>
    <w:basedOn w:val="704"/>
    <w:next w:val="704"/>
    <w:uiPriority w:val="39"/>
    <w:unhideWhenUsed/>
    <w:pPr>
      <w:spacing w:after="57"/>
    </w:pPr>
  </w:style>
  <w:style w:type="paragraph" w:styleId="87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7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4"/>
    <w:next w:val="704"/>
    <w:uiPriority w:val="99"/>
    <w:unhideWhenUsed/>
  </w:style>
  <w:style w:type="paragraph" w:styleId="881">
    <w:name w:val="Caption"/>
    <w:basedOn w:val="704"/>
    <w:next w:val="704"/>
    <w:link w:val="70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704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704"/>
    <w:pPr>
      <w:ind w:right="-1"/>
      <w:jc w:val="both"/>
    </w:pPr>
    <w:rPr>
      <w:sz w:val="26"/>
    </w:rPr>
  </w:style>
  <w:style w:type="paragraph" w:styleId="884">
    <w:name w:val="Footer"/>
    <w:basedOn w:val="704"/>
    <w:link w:val="737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714"/>
  </w:style>
  <w:style w:type="paragraph" w:styleId="886">
    <w:name w:val="Header"/>
    <w:basedOn w:val="704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704"/>
    <w:link w:val="888"/>
    <w:rPr>
      <w:rFonts w:ascii="Segoe UI" w:hAnsi="Segoe UI"/>
      <w:sz w:val="18"/>
      <w:szCs w:val="18"/>
    </w:rPr>
  </w:style>
  <w:style w:type="character" w:styleId="888" w:customStyle="1">
    <w:name w:val="Текст выноски Знак"/>
    <w:link w:val="887"/>
    <w:rPr>
      <w:rFonts w:ascii="Segoe UI" w:hAnsi="Segoe UI" w:cs="Segoe UI"/>
      <w:sz w:val="18"/>
      <w:szCs w:val="18"/>
    </w:rPr>
  </w:style>
  <w:style w:type="character" w:styleId="889" w:customStyle="1">
    <w:name w:val="Body text (4)_"/>
    <w:link w:val="890"/>
    <w:uiPriority w:val="99"/>
    <w:rPr>
      <w:sz w:val="23"/>
      <w:szCs w:val="23"/>
      <w:shd w:val="clear" w:color="auto" w:fill="ffffff"/>
    </w:rPr>
  </w:style>
  <w:style w:type="paragraph" w:styleId="890" w:customStyle="1">
    <w:name w:val="Body text (4)"/>
    <w:basedOn w:val="704"/>
    <w:link w:val="889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</w:rPr>
  </w:style>
  <w:style w:type="character" w:styleId="891">
    <w:name w:val="Hyperlink"/>
    <w:rPr>
      <w:color w:val="0000ff"/>
      <w:u w:val="single"/>
    </w:rPr>
  </w:style>
  <w:style w:type="character" w:styleId="892" w:customStyle="1">
    <w:name w:val="Верхний колонтитул Знак"/>
    <w:basedOn w:val="714"/>
    <w:link w:val="886"/>
    <w:uiPriority w:val="99"/>
  </w:style>
  <w:style w:type="character" w:styleId="893">
    <w:name w:val="Emphasis"/>
    <w:qFormat/>
    <w:rPr>
      <w:i/>
      <w:iCs/>
    </w:rPr>
  </w:style>
  <w:style w:type="paragraph" w:styleId="894">
    <w:name w:val="List Paragraph"/>
    <w:basedOn w:val="704"/>
    <w:uiPriority w:val="34"/>
    <w:qFormat/>
    <w:pPr>
      <w:contextualSpacing/>
      <w:ind w:left="720"/>
    </w:pPr>
  </w:style>
  <w:style w:type="paragraph" w:styleId="89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3" Type="http://schemas.openxmlformats.org/officeDocument/2006/relationships/hyperlink" Target="consultantplus://offline/ref=3333E7EB7C2DE1014DC29D0682D760D7B6E7C555BF85499918DF45BC5E7A33737026127397845304283D1EC0891F912C0BlEF4G" TargetMode="External"/><Relationship Id="rId14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8464-D529-440F-B551-B652982E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57</cp:revision>
  <dcterms:created xsi:type="dcterms:W3CDTF">2024-11-20T04:28:00Z</dcterms:created>
  <dcterms:modified xsi:type="dcterms:W3CDTF">2025-09-30T11:05:27Z</dcterms:modified>
</cp:coreProperties>
</file>