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6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76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0" w:right="5386" w:firstLine="0"/>
        <w:jc w:val="left"/>
        <w:spacing w:before="0" w:after="0" w:line="238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внесении изменений</w:t>
        <w:br/>
        <w:t xml:space="preserve">в Регламент взаимодействия территориальных </w:t>
        <w:br/>
        <w:t xml:space="preserve">и функциональных органов, функциональных подразделений администрации города Перми при создании и деятельности общественных центров </w:t>
        <w:br/>
        <w:t xml:space="preserve">на территории города Перми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, утвержденный постановлением администрации города Перми </w:t>
        <w:br/>
        <w:t xml:space="preserve">от 17.02.2014 № 95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5386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5386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5386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Уставом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города Перми, </w:t>
      </w:r>
      <w:r>
        <w:rPr>
          <w:sz w:val="28"/>
          <w:szCs w:val="28"/>
          <w:highlight w:val="white"/>
        </w:rPr>
        <w:t xml:space="preserve">решением Пермской городской Думы от 26 июня 2012 г. № 135 «Об утверждении Положения об общественных центрах города Перми», </w:t>
      </w:r>
      <w:r>
        <w:rPr>
          <w:sz w:val="28"/>
          <w:szCs w:val="28"/>
          <w:highlight w:val="white"/>
        </w:rPr>
        <w:t xml:space="preserve">в целях актуализации нормативных правовых актов администрации города Перми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0"/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  <w:t xml:space="preserve">1</w:t>
      </w:r>
      <w:r>
        <w:rPr>
          <w:bCs/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Внести в </w:t>
      </w:r>
      <w:r>
        <w:rPr>
          <w:sz w:val="28"/>
          <w:szCs w:val="28"/>
          <w:highlight w:val="white"/>
        </w:rPr>
        <w:t xml:space="preserve">Регламент взаимодействия территориальных</w:t>
      </w:r>
      <w:r>
        <w:rPr>
          <w:sz w:val="28"/>
          <w:szCs w:val="28"/>
          <w:highlight w:val="white"/>
        </w:rPr>
        <w:t xml:space="preserve"> и функциональных органов, функциональных подразделений администрации города Перми при создании и деятельности общественных центров на территории города Перми, </w:t>
      </w:r>
      <w:r>
        <w:rPr>
          <w:bCs/>
          <w:sz w:val="28"/>
          <w:szCs w:val="28"/>
          <w:highlight w:val="white"/>
        </w:rPr>
        <w:t xml:space="preserve">утвержденн</w:t>
      </w:r>
      <w:r>
        <w:rPr>
          <w:bCs/>
          <w:sz w:val="28"/>
          <w:szCs w:val="28"/>
          <w:highlight w:val="white"/>
        </w:rPr>
        <w:t xml:space="preserve">ый</w:t>
      </w:r>
      <w:r>
        <w:rPr>
          <w:bCs/>
          <w:sz w:val="28"/>
          <w:szCs w:val="28"/>
          <w:highlight w:val="white"/>
        </w:rPr>
        <w:t xml:space="preserve"> постановл</w:t>
      </w:r>
      <w:r>
        <w:rPr>
          <w:bCs/>
          <w:sz w:val="28"/>
          <w:szCs w:val="28"/>
          <w:highlight w:val="white"/>
        </w:rPr>
        <w:t xml:space="preserve">ением администрации города Перми</w:t>
      </w:r>
      <w:r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от </w:t>
      </w:r>
      <w:r>
        <w:rPr>
          <w:sz w:val="28"/>
          <w:szCs w:val="28"/>
          <w:highlight w:val="white"/>
        </w:rPr>
        <w:t xml:space="preserve">17 февраля </w:t>
      </w:r>
      <w:r>
        <w:rPr>
          <w:sz w:val="28"/>
          <w:szCs w:val="28"/>
          <w:highlight w:val="white"/>
        </w:rPr>
        <w:t xml:space="preserve">2014 г. № 95 </w:t>
      </w:r>
      <w:r>
        <w:rPr>
          <w:bCs/>
          <w:sz w:val="28"/>
          <w:szCs w:val="28"/>
          <w:highlight w:val="white"/>
        </w:rPr>
        <w:t xml:space="preserve">(</w:t>
      </w:r>
      <w:r>
        <w:rPr>
          <w:bCs/>
          <w:sz w:val="28"/>
          <w:szCs w:val="28"/>
          <w:highlight w:val="white"/>
        </w:rPr>
        <w:t xml:space="preserve">в ред. </w:t>
      </w:r>
      <w:r>
        <w:rPr>
          <w:bCs/>
          <w:sz w:val="28"/>
          <w:szCs w:val="28"/>
          <w:highlight w:val="white"/>
        </w:rPr>
        <w:t xml:space="preserve">от 05.12.2014 № 932, от 21.07.2017 № 572, от 29.12.2017 № 1230, </w:t>
        <w:br/>
      </w:r>
      <w:r>
        <w:rPr>
          <w:bCs/>
          <w:sz w:val="28"/>
          <w:szCs w:val="28"/>
          <w:highlight w:val="white"/>
        </w:rPr>
        <w:t xml:space="preserve">от 15.05.2018 </w:t>
      </w:r>
      <w:r>
        <w:rPr>
          <w:bCs/>
          <w:sz w:val="28"/>
          <w:szCs w:val="28"/>
          <w:highlight w:val="white"/>
        </w:rPr>
        <w:t xml:space="preserve">№</w:t>
      </w:r>
      <w:r>
        <w:rPr>
          <w:bCs/>
          <w:sz w:val="28"/>
          <w:szCs w:val="28"/>
          <w:highlight w:val="white"/>
        </w:rPr>
        <w:t xml:space="preserve"> 299, от 31.05.2019 № 239, от 17.10.2019 № 716, от 28.07.2021 </w:t>
      </w:r>
      <w:r>
        <w:rPr>
          <w:bCs/>
          <w:sz w:val="28"/>
          <w:szCs w:val="28"/>
          <w:highlight w:val="white"/>
        </w:rPr>
        <w:t xml:space="preserve">№ 565, от 01.10.2024 № 812</w:t>
      </w:r>
      <w:r>
        <w:rPr>
          <w:bCs/>
          <w:sz w:val="28"/>
          <w:szCs w:val="28"/>
          <w:highlight w:val="white"/>
        </w:rPr>
        <w:t xml:space="preserve">), следующие изменения</w:t>
      </w:r>
      <w:r>
        <w:rPr>
          <w:bCs/>
          <w:sz w:val="28"/>
          <w:szCs w:val="28"/>
          <w:highlight w:val="white"/>
        </w:rPr>
        <w:t xml:space="preserve">:</w:t>
      </w:r>
      <w:r>
        <w:rPr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1.1. в пункте 1.1: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1.1.1. после слов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06 октября 2003 г.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№ 131-ФЗ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,» дополнить словами «,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 марта 2025 № 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власти»,»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1.1.2. 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, Постановления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адм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страции города Перми от 3 октября 2012 г. № 582 «Об утверждении Типового положения о координационно-методическом совете при территориальном органе администрации города Перми для осуществления общей координации деятельности общественных центров» исключить;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1.2. пункт 1.3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«1.3. Инициатор создания общественного центр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-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лава города Перми, территориальные общественные самоуправления, которые осуществляют деятельность в границах территории микрорайона города Перми, на которой предлагается создание общественного центра, иные общественные объединения,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социально ориентированные некоммерческие организации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осуществляющие свою деятельность на территории города Перми, депутаты Думы по соот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ветствующему одномандатному избирательному округу либо депутат Думы по единому избирательному округу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(далее - Инициатор).»;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1.3. пункты 1.4.2 - 1.4.4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1.4.2. территориальные органы администрации города Перми (далее - Территориальный орган) - по созданию общественных центров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ежилом помещени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ибо совокупности нежилых помещений в пределах одного здания (многоквартирного дома, нежилого здания), нежилого здания, возведенного некапитального строения, сооружения (далее – помещение), находящегося(ихся) в муниципальной собственности или во временном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ладении и пользовании Территориального органа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а также организации деятельности общественных це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нтров, расположенных на территории района города Перми;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1.4.3. департамент финансов администрации города Перми (далее – ДФ) - </w:t>
        <w:br/>
        <w:t xml:space="preserve">по доведению бюджетных ассигнований на финансовое обеспечение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деятельности общественных центров,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текущего ремонта,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арендной платы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 помещение в случае аренды помещения(й) для осуществления деятельности общественных центров (далее – арендная плата);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1.4.4.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управление по вопросам общественного самоуправления </w:t>
        <w:br/>
        <w:t xml:space="preserve">и межнациональным отношениям администрации города Перми (далее - УВОСиМО) –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координации взаимодействия территориальных </w:t>
        <w:br/>
        <w:t xml:space="preserve">и функциональных органов, функциональных подразделений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 создании и деятельности общественных центров, а также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обеспечению внесе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ния сведений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Методику расчета нормативных затрат </w:t>
        <w:br/>
        <w:t xml:space="preserve">на обеспечение деятельности общественных центров города Перми,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утвержденную постановлением администрации города Перми (далее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Методика на обеспечение деятельности общественных центров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1.4. раздел III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center"/>
        <w:spacing w:before="0" w:beforeAutospacing="0" w:after="0" w:afterAutospacing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I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II. Порядок взаимодействия территориальных</w:t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и функциональных органов, функциональных подразделений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center"/>
        <w:spacing w:before="0" w:beforeAutospacing="0" w:after="0" w:afterAutospacing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администрации города Перми по созданию общественных центров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br/>
        <w:t xml:space="preserve">в помещениях, находящихся в муниципальной собственности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center"/>
        <w:spacing w:before="0" w:beforeAutospacing="0" w:after="0" w:afterAutospacing="0" w:line="238" w:lineRule="exact"/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  <w:highlight w:val="white"/>
        </w:rPr>
        <w:t xml:space="preserve">3.1. Территориальный орган в течение 3 рабочих дней после дня поступления </w:t>
        <w:br/>
        <w:t xml:space="preserve">от Инициатора предложения о создании общественного центра 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  <w:highlight w:val="white"/>
        </w:rPr>
        <w:t xml:space="preserve">(далее — Предложение)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  <w:highlight w:val="white"/>
        </w:rPr>
        <w:t xml:space="preserve"> с приложенными к нему документами, указанными в пункте 3.3 Положения подготавливает и направляет запрос в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  <w:highlight w:val="white"/>
        </w:rPr>
        <w:t xml:space="preserve"> ДИО о наличии (отсутствии)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микрорайоне города Перми, на территории которого предлагается создание общественного центра, свободного помещения, находящегося в муниципальной собственности, соответствующего требованиям, предусмотренным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пунктом 3.13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Положения (далее – свободное помещение), 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  <w:highlight w:val="white"/>
        </w:rPr>
        <w:t xml:space="preserve">а также о возможности (невозможности) передачи данного помещения в оперативное управление Территориальному органу </w:t>
        <w:br/>
        <w:t xml:space="preserve">для создания общественного центра.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 ДИО в течение 5 рабочих дней после дня поступления запроса, указанного в пункте 3.1 настоящего Регламента, направляет в Территориальный орган информацию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  <w:highlight w:val="white"/>
        </w:rPr>
        <w:t xml:space="preserve">наличии (отсутствии)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свободного помещения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возмо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жности (невозможности) передачи данного помещения в оперативное управление Территориальному органу для создания общественного центра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 При наличии свободного помещения и возможности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передачи его </w:t>
        <w:br/>
        <w:t xml:space="preserve">в оперативное управление Территориальному органу для создания общественного центра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Территориальный орган в течение 3 рабочих дней после дня получения информации от ДИО, направляет в ДФ запрос о наличии (отсутствии) источников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финансирования на обеспечение деятельности общественного центра,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текущего ремонта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расчета объемов средств </w:t>
        <w:br/>
        <w:t xml:space="preserve">на обеспечение деятельности общественного центра и примерного расчета стоимости текущего ремонта, а также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возможности (невозможности) включения указанных дополнительных расходов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проект бюджета города Перми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Расчет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объемов средств на обеспечение деятельности общественного центра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осуществляется на основании Методик расчета нормативных затрат в рамках осуществления деятельности общественных центров города Перми, утвержденных постановлением администрации города Перми (далее – Методики).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3.4. ДФ в течение 8 рабочих дней после дня поступления запроса,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указанного в пункте 3.3 настоящего Регламента,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направляет в Территориальный орган информацию о наличии (отсутствии) источников финансирования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обеспечение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деятельности общественного центра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текущего ремонта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возможности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(невозможности)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включения указанных дополнительных расходов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проект бюджета города Перми.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 Террит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ориальный орган обобщает полученную из ДИО, ДФ информацию и при отсутствии оснований для отказа в создании общественного центра, указанных в пункте 3.5 Положения,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 позднее истечения 5 рабочих дней после дня окончания срока рассмотрения документов,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пунктом </w:t>
        <w:br/>
        <w:t xml:space="preserve">3.4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Положения, подготавливает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заключение о возможности создания общественного центра на соответствующей территории города Перми (далее - заключение Территориального органа) и направляет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его Главе города Перми.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заключению Территориального органа прилагаются документы,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указанные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пункте 3.3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Положения,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расчет объемов средств на обеспечение деятельности общественного центра и примерный расчет стоимости текущего ремонта.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3.6. Глава города Перми в течение 15 рабочих дней после дня получения документов, указанных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абзаце втором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пункта 3.5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стоящего Регламента,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ринимает решение о согласовании создания общественного центра, направляет такие документы в Территориальный орган для организации работы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созданию общественного центра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3.7.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Территориальный орган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течение 5 рабочих дней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после дня поступления решения Главы города Перми о согласовании создания общественного центра направляет его в ДИО.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8. Начальник ДИО не позднее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истечени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 рабочих дней с даты поступления решения о согласовании создания общественного центра </w:t>
        <w:br/>
        <w:t xml:space="preserve">от Территориального органа издает распоряжение о закреплении помещения </w:t>
        <w:br/>
        <w:t xml:space="preserve">на праве оперативного управления за Территориальным органом для размещения общественного центра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(далее - распоряжение начальника ДИО).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3.9. ДИО на основании распоряжения начальника ДИО осуществляет необходимые действия по государственной регистрации права оперативного управления Территориального органа на помещение в порядке и сроки, установленные действующим законодательством.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3.10.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течение 3 рабочих дней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после дня возникновения у Территориального органа права оперативного управления на помещение,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глава Территориального органа издает распоряжение о создании общественного центра (далее – распоряжение главы Территориального органа).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Территориальный 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течение 5 рабочих дней со дня издания распоряжения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главы Территориального органа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3.11.1.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направляет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ДФ письмо об увеличении объемов финансирования </w:t>
        <w:br/>
        <w:t xml:space="preserve">на обеспечение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деятельности общественного центра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 приложением расчетов произведенных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Методиками и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 текущего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ремонта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локального сметного расчета.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3.11.2. информирует УВОСиМО о создании общественного центра </w:t>
        <w:br/>
        <w:t xml:space="preserve">с указанием адреса, площади, территории, цели и задач организации общественного центра.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3.12. УВОСиМО обеспечивает внесе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ние сведений в Методику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обеспечение деятельности общественных центров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об адресе общественного центра, его площади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 распоряжением начальника ДИО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  <w:t xml:space="preserve">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распоряжением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главы Территориального органа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3.13.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возникновения права оперативного управления </w:t>
        <w:br/>
        <w:t xml:space="preserve">у Территориального органа в результате осуществления бюджетных инвестиций </w:t>
        <w:br/>
        <w:t xml:space="preserve">в объекты муниципальной собственности города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глава Территориального органа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течение 3 рабочих дней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после возникновения такого права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издает распоряжение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главы Территориального органа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возникновении права оперативного упра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вления в соответствии </w:t>
        <w:br/>
        <w:t xml:space="preserve">с пунктом 3.13 настоящего Регламента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Территориальный 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течение 5 рабочих дней со дня издания распоряжения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главы Территориального органа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3.14.1. направляет в ДФ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письмо об увеличении объемов финансирования </w:t>
        <w:br/>
        <w:t xml:space="preserve">на обеспечение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деятельности общественного центра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приложением расчетов произведенных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Методиками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3.14.2. информирует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УВОСиМО о созданном общественном центре с целью внесения изменений в Методику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обеспечение деятельности общественных центров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адресе общественного центра, его площади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  <w:t xml:space="preserve">с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аспоряжением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главы Территориального органа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1.5. раздел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IV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center"/>
        <w:spacing w:before="0" w:beforeAutospacing="0" w:after="0" w:afterAutospacing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I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V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. Порядок взаимодействия территориальных</w:t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и функциональных органов, функциональных подразделений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center"/>
        <w:spacing w:before="0" w:beforeAutospacing="0" w:after="0" w:afterAutospacing="0" w:line="238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администрации города Перми по созданию общественных центров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</w:t>
        <w:br/>
        <w:t xml:space="preserve">в помещениях, находящихся в собственности </w:t>
        <w:br/>
        <w:t xml:space="preserve">физического и (или) юридического лица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center"/>
        <w:spacing w:before="0" w:beforeAutospacing="0" w:after="0" w:afterAutospacing="0" w:line="238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  <w:highlight w:val="white"/>
        </w:rPr>
        <w:t xml:space="preserve">4.1. Территориальный орган в течении 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  <w:highlight w:val="white"/>
        </w:rPr>
        <w:t xml:space="preserve">3 рабочих дней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  <w:highlight w:val="white"/>
        </w:rPr>
        <w:t xml:space="preserve"> после дня поступления от Инициатора 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  <w:highlight w:val="white"/>
        </w:rPr>
        <w:t xml:space="preserve">Предложения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  <w:highlight w:val="white"/>
        </w:rPr>
        <w:t xml:space="preserve"> с приложенными к нему документами, указанными </w:t>
        <w:br/>
        <w:t xml:space="preserve">в пункте 3.3 Положения, подготавливает и направляет запрос в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  <w:highlight w:val="white"/>
        </w:rPr>
        <w:t xml:space="preserve"> ДИО о наличии (отсутствии)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свободного помещения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.2. ДИО в течение 5 рабочих дней после дня поступления запроса, указанного в пункте 4.1 настоящего Регламента, направляет в Территориальный орган информацию о наличии (отсутствии)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свободного помещения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.3. В случае отсутствия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свободного помещения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Территориальный орган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  <w:t xml:space="preserve">в течение 2 рабочих дней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осле дня поступления информации 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ДИО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осуществляет получение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выписки из Единого государственного реестра недвижимости (далее - выписка из ЕГРН)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 целью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установления собственника помещения, указанного в Предложении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Инициатора (далее – собственник помещения)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течение 3 рабочих дней после дня получения выписки из ЕГРН Территориальный орган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направляет письмо собственнику помещения </w:t>
        <w:br/>
        <w:t xml:space="preserve">с предложением о заключении договора аренды помещения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для осуществления деятельности общественного центра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- договор аренды).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 письме собственнику помещения Территориальный орган указывает условия, в соответствии с пунктом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3.15 Положения, при соблюдении которых возможно заключение договора аренды, а также срок в течение которого собственнику помещения необходимо представить ответ.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Данный срок должен составлять 10 рабочих дней после дня получения письма собственником помещения.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4.5.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Собственник помещения в течение 10 рабочих дней после дня получения письма, указанного в пункте 4.4 настоящего Регламента, направляет ответ </w:t>
        <w:br/>
        <w:t xml:space="preserve">в Территориальный орган о возможности/невозможности заключения договора аренды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срок, указанный в абзаце первом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настоящего пункта Территориальный орган организовывает встречу с собственником помещения, с целью его осмотра на соответствие требованиям, предусмотренным пунктом 3.13 Положения, </w:t>
        <w:br/>
        <w:t xml:space="preserve">и оформления акта такого осмотра.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Акт осмотра оформляется должностным лицом,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из числа муниципальных слу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жащих Территориального органа, ответственного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 создание и (или) организацию деятельности общественного центра.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Акт осмотра должен содержать следующие сведения: адрес помещения, площадь помещения (исключая площадь подвальных помещений), порядковые номера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помещений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в соответствии с планом и экспликацией помещения, доступность помещения для инвалидов и иных маломобильных групп граждан, </w:t>
        <w:br/>
        <w:t xml:space="preserve">а также иные сведения, отражающие техническое состояние помещения.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случае согласия собственника помещения заключить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договор аренды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Территориальный орган в течение 3 рабочих дней после дня получения ответа направляет в ДФ запрос о наличии (отсутствии) источников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инансирования на обеспечение деятельности общественного центра,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осуществление 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кущего ремонта,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арендной платы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возможности (невозможности) включения указанных дополнительных расходов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проект бюджета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указанному запросу прилагаются: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расчет арендной платы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приложением не менее трех ценовых информаций о ценах оказания услуг по аренде нежилого помещения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аналогичными параметрами и в схожих локациях и указанием срока аренды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расчет объемов средств на обеспечение деятельности общественного центра;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примерный расчет стоимости текущего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ремонта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.7. ДФ в течение 8 рабочих дней с даты поступления запроса, указанного </w:t>
        <w:br/>
        <w:t xml:space="preserve">в пункте 4.6 настоящего Регламента, направляет в Территориальный орган информацию о наличии (отсутствии)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источников финансирования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обеспечение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деятельности общественного центра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текущего ремонта,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арендной платы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возможности (невозможности) включения указанных дополнительных расходов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проект бюджета города Перми.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При наличии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источников финансирования на обеспечение деятельности общественного центра,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текущего ремонта,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арендной платы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возможности включения указанных дополнительных расходов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проект бюджета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Территориальный орган, в течение 5 рабочих дней после дня получения ответа на запрос, указанного в пункте 4.7 настоящего Регламента, готовит проект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договора аренды и направляет его с сопроводительным письмом собственнику помещения для согласования условий договора аренды.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 сопроводительном письме указывается срок в течение которого собственнику помещения необходимо представить ответ.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Данный срок должен составлять </w:t>
        <w:br/>
        <w:t xml:space="preserve">10 рабочих дней после дня получения письма собственником помещения.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Территориальный 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ган,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течение 10 рабочих дней после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направления собственнику помещения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сопроводительного письма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проекта договора аренды,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рабочем порядке, согласовывает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собственником помещения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условия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договора аренды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Собственник помещения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течение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 рабочих дней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сле дня истечения срока,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предусмотренного абзацем вторым настоящего пункта напра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ляет в адрес Территориального органа письмо о согласовании (несогласовании) проекта договора аренды. В случае согласования указанного проекта договора аренды </w:t>
        <w:br/>
        <w:t xml:space="preserve">к письму о согласовании прилагается согласованный собственником помещения проект договора аренды.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Территориальный орган проверяет направленный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собственником помещения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 договора аренды на предмет соответствия достигнутым договоренностям </w:t>
        <w:br/>
        <w:t xml:space="preserve">в течение 5 рабочих дней после дня получения письма, предусмотренного абзацем третьим настоящего пункта.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Территориальный орган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прекращает инициирование создания общественного центра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помещении, указанном в Предложении, о чем </w:t>
        <w:br/>
        <w:t xml:space="preserve">в течение 3 рабочих дней уведомляет Инициатора в следующих случаях: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несогласования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проекта договора аренды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собственником помещения;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недостижения договоренностей в отношении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условий, при которых Территориальным органом заключается договор аренды, указанных </w:t>
        <w:br/>
        <w:t xml:space="preserve">в пункте 3.15 Положения.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В случае согласования проект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договора аренды с собственником помещения, при отсутствии оснований,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указанных в пункте 3.5 Положения, Территориальный орган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 позднее истечения 5 рабочих дней после дня окончания срока рассмотрения документов,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м 3.4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Положения, подготавливает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заключение Территориального органа и направляет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его Главе города Перми с документами, указанными в пункте 3.7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Положения.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Глава города Перми в течение 15 рабочих дней после дня получения документов,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пункте 4.10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астоящего Регламента,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ринимает решение о согласовании создания общественного центра, направляет такие документы в Территориальный орган для организации работы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заключению договора аренды и уведомления Инициатора о принятом решении.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Территориальный орган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strike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 течение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5 рабочих дней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после дня поступления решения </w:t>
        <w:br/>
        <w:t xml:space="preserve">о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огласовании создания общественного центра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Главы города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увед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омляет Инициатора о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инятом решени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trike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4.12.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инициирует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осуществление закупки у единственного поставщика (подрядчика, исполнителя) в соответствии с пунктом 32 части 1 статьи 93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Федерального закона от 05.04.2013 № 44-ФЗ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течение 3 рабочих дней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после дня возникновения права временного владения и пользования на помещение у Территориального органа,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уководитель Территориального органа издает распоряжение главы Территориального органа.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течение 5 рабочих дней со дня издания распоряжения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главы Территориального органа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Территориальный орган: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4.14.1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направляет в ДФ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письмо об увеличении объемов финансирования на обеспечение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деятельности общественного центра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приложением расчетов произведенных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Методиками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осуществление текущего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емонта с приложен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локального сметного расчета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арендную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плату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приложением проекта договора аренды, к которому прикладываются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расчеты арендной платы, с приложением не менее трех ценовых информаций о ценах оказания услуг по аренде нежилого помещения с аналогичными параметрами и в схожих локациях и указанием срока аренды.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4.14.2. информирует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УВОСиМО о создании общественного центра </w:t>
        <w:br/>
        <w:t xml:space="preserve">с указанием адреса, площади, территории, цели и задач организации общественного центра.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4.15. УВОСиМО обеспечивает внесе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ние сведений в Методику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обеспечение деятельности общественных центров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об адресе общественного центра, его площади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распоряжением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главы Территориального органа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дополнить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разделом V согласно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приложению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 настоящему постановлению.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образования город Пермь».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2" w:tooltip="&lt;div class=&quot;doc www&quot;&gt;&lt;span class=&quot;aligner&quot;&gt;&lt;div class=&quot;icon listDocWWW-16&quot;&gt;&lt;/div&gt;&lt;/span&gt;www.gorodperm.ru&lt;/div&gt;" w:history="1">
        <w:r>
          <w:rPr>
            <w:rStyle w:val="887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 Контроль за исполнением настоящего постановления возложить </w:t>
        <w:br/>
        <w:t xml:space="preserve">на замест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ителя главы администрации города Перми Трошкова С.В.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Style w:val="870"/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города Перми</w:t>
        <w:tab/>
      </w:r>
      <w:r>
        <w:rPr>
          <w:sz w:val="28"/>
          <w:szCs w:val="28"/>
          <w:highlight w:val="white"/>
        </w:rPr>
        <w:tab/>
        <w:tab/>
        <w:tab/>
        <w:tab/>
        <w:tab/>
        <w:tab/>
        <w:tab/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shd w:val="nil" w:color="00000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69"/>
        <w:jc w:val="lef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669"/>
        <w:jc w:val="left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постановлению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69"/>
        <w:jc w:val="left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69"/>
        <w:jc w:val="left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__________№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left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center"/>
        <w:spacing w:before="0" w:beforeAutospacing="0" w:after="0" w:afterAutospacing="0" w:line="238" w:lineRule="exact"/>
        <w:rPr>
          <w:rFonts w:ascii="Times New Roman" w:hAnsi="Times New Roman" w:cs="Times New Roman"/>
          <w:b/>
          <w:bCs/>
          <w:strike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Порядок организации деятельности общественных центров</w:t>
      </w:r>
      <w:r>
        <w:rPr>
          <w:rFonts w:ascii="Times New Roman" w:hAnsi="Times New Roman" w:cs="Times New Roman"/>
          <w:b/>
          <w:bCs/>
          <w:strike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trike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/>
          <w:bCs/>
          <w:strike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trike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5.1. Территориальные органы в пределах средств, предусмотренных </w:t>
        <w:br/>
        <w:t xml:space="preserve">в бюджете города Перми на текущий год, в соответствии с действующим законодательством Российской Федерации обеспечивают организацию деятельности общественных центров.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5.2. Территориа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ьный орган обеспечивает составление плана использования помещений в общественном центре (далее – План) не позднее 25 числа месяца, предшествующего месяцу, на который составляется План, и размещает его на официальном сайте муниципального образования город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Пермь в информационно-телекоммуникационной сети Интернет не позднее 30 числа месяца, предшествующего месяцу, на который составляется План.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При этом в случае, если размещение Плана осуществляется в феврале, – не позднее 28 числа месяца, предшествующего месяцу, на который составляется План.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873"/>
    <w:link w:val="871"/>
    <w:uiPriority w:val="9"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873"/>
    <w:link w:val="872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3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3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3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3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3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0"/>
    <w:next w:val="870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3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0"/>
    <w:next w:val="870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3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Title"/>
    <w:basedOn w:val="870"/>
    <w:next w:val="870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3"/>
    <w:link w:val="717"/>
    <w:uiPriority w:val="10"/>
    <w:rPr>
      <w:sz w:val="48"/>
      <w:szCs w:val="48"/>
    </w:rPr>
  </w:style>
  <w:style w:type="paragraph" w:styleId="719">
    <w:name w:val="Subtitle"/>
    <w:basedOn w:val="870"/>
    <w:next w:val="870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3"/>
    <w:link w:val="719"/>
    <w:uiPriority w:val="11"/>
    <w:rPr>
      <w:sz w:val="24"/>
      <w:szCs w:val="24"/>
    </w:rPr>
  </w:style>
  <w:style w:type="paragraph" w:styleId="721">
    <w:name w:val="Quote"/>
    <w:basedOn w:val="870"/>
    <w:next w:val="870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0"/>
    <w:next w:val="870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3"/>
    <w:link w:val="881"/>
    <w:uiPriority w:val="99"/>
  </w:style>
  <w:style w:type="character" w:styleId="726">
    <w:name w:val="Footer Char"/>
    <w:basedOn w:val="873"/>
    <w:link w:val="879"/>
    <w:uiPriority w:val="99"/>
  </w:style>
  <w:style w:type="character" w:styleId="727">
    <w:name w:val="Caption Char"/>
    <w:basedOn w:val="873"/>
    <w:link w:val="87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3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3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paragraph" w:styleId="871">
    <w:name w:val="Heading 1"/>
    <w:basedOn w:val="870"/>
    <w:next w:val="870"/>
    <w:qFormat/>
    <w:pPr>
      <w:ind w:right="-1" w:firstLine="709"/>
      <w:jc w:val="both"/>
      <w:keepNext/>
      <w:outlineLvl w:val="0"/>
    </w:pPr>
    <w:rPr>
      <w:sz w:val="24"/>
    </w:rPr>
  </w:style>
  <w:style w:type="paragraph" w:styleId="872">
    <w:name w:val="Heading 2"/>
    <w:basedOn w:val="870"/>
    <w:next w:val="870"/>
    <w:qFormat/>
    <w:pPr>
      <w:ind w:right="-1"/>
      <w:jc w:val="both"/>
      <w:keepNext/>
      <w:outlineLvl w:val="1"/>
    </w:pPr>
    <w:rPr>
      <w:sz w:val="24"/>
    </w:rPr>
  </w:style>
  <w:style w:type="character" w:styleId="873" w:default="1">
    <w:name w:val="Default Paragraph Font"/>
    <w:semiHidden/>
  </w:style>
  <w:style w:type="table" w:styleId="87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semiHidden/>
  </w:style>
  <w:style w:type="paragraph" w:styleId="876">
    <w:name w:val="Caption"/>
    <w:basedOn w:val="870"/>
    <w:next w:val="870"/>
    <w:link w:val="72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7">
    <w:name w:val="Body Text"/>
    <w:basedOn w:val="870"/>
    <w:link w:val="905"/>
    <w:pPr>
      <w:ind w:right="3117"/>
    </w:pPr>
    <w:rPr>
      <w:rFonts w:ascii="Courier New" w:hAnsi="Courier New"/>
      <w:sz w:val="26"/>
    </w:rPr>
  </w:style>
  <w:style w:type="paragraph" w:styleId="878">
    <w:name w:val="Body Text Indent"/>
    <w:basedOn w:val="870"/>
    <w:pPr>
      <w:ind w:right="-1"/>
      <w:jc w:val="both"/>
    </w:pPr>
    <w:rPr>
      <w:sz w:val="26"/>
    </w:rPr>
  </w:style>
  <w:style w:type="paragraph" w:styleId="879">
    <w:name w:val="Footer"/>
    <w:basedOn w:val="870"/>
    <w:link w:val="964"/>
    <w:uiPriority w:val="99"/>
    <w:pPr>
      <w:tabs>
        <w:tab w:val="center" w:pos="4153" w:leader="none"/>
        <w:tab w:val="right" w:pos="8306" w:leader="none"/>
      </w:tabs>
    </w:pPr>
  </w:style>
  <w:style w:type="character" w:styleId="880">
    <w:name w:val="page number"/>
    <w:basedOn w:val="873"/>
  </w:style>
  <w:style w:type="paragraph" w:styleId="881">
    <w:name w:val="Header"/>
    <w:basedOn w:val="870"/>
    <w:link w:val="884"/>
    <w:uiPriority w:val="99"/>
    <w:pPr>
      <w:tabs>
        <w:tab w:val="center" w:pos="4153" w:leader="none"/>
        <w:tab w:val="right" w:pos="8306" w:leader="none"/>
      </w:tabs>
    </w:pPr>
  </w:style>
  <w:style w:type="paragraph" w:styleId="882">
    <w:name w:val="Balloon Text"/>
    <w:basedOn w:val="870"/>
    <w:link w:val="883"/>
    <w:uiPriority w:val="99"/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link w:val="882"/>
    <w:uiPriority w:val="99"/>
    <w:rPr>
      <w:rFonts w:ascii="Segoe UI" w:hAnsi="Segoe UI" w:cs="Segoe UI"/>
      <w:sz w:val="18"/>
      <w:szCs w:val="18"/>
    </w:rPr>
  </w:style>
  <w:style w:type="character" w:styleId="884" w:customStyle="1">
    <w:name w:val="Верхний колонтитул Знак"/>
    <w:link w:val="881"/>
    <w:uiPriority w:val="99"/>
  </w:style>
  <w:style w:type="numbering" w:styleId="885" w:customStyle="1">
    <w:name w:val="Нет списка1"/>
    <w:next w:val="875"/>
    <w:uiPriority w:val="99"/>
    <w:semiHidden/>
    <w:unhideWhenUsed/>
  </w:style>
  <w:style w:type="paragraph" w:styleId="88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7">
    <w:name w:val="Hyperlink"/>
    <w:uiPriority w:val="99"/>
    <w:unhideWhenUsed/>
    <w:rPr>
      <w:color w:val="0000ff"/>
      <w:u w:val="single"/>
    </w:rPr>
  </w:style>
  <w:style w:type="character" w:styleId="888">
    <w:name w:val="FollowedHyperlink"/>
    <w:uiPriority w:val="99"/>
    <w:unhideWhenUsed/>
    <w:rPr>
      <w:color w:val="800080"/>
      <w:u w:val="single"/>
    </w:rPr>
  </w:style>
  <w:style w:type="paragraph" w:styleId="889" w:customStyle="1">
    <w:name w:val="xl65"/>
    <w:basedOn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0" w:customStyle="1">
    <w:name w:val="xl66"/>
    <w:basedOn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1" w:customStyle="1">
    <w:name w:val="xl67"/>
    <w:basedOn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2" w:customStyle="1">
    <w:name w:val="xl68"/>
    <w:basedOn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3" w:customStyle="1">
    <w:name w:val="xl69"/>
    <w:basedOn w:val="87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70"/>
    <w:basedOn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5" w:customStyle="1">
    <w:name w:val="xl71"/>
    <w:basedOn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2"/>
    <w:basedOn w:val="87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3"/>
    <w:basedOn w:val="87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4"/>
    <w:basedOn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5"/>
    <w:basedOn w:val="87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6"/>
    <w:basedOn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7"/>
    <w:basedOn w:val="87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8"/>
    <w:basedOn w:val="87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9"/>
    <w:basedOn w:val="87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Форма"/>
    <w:rPr>
      <w:sz w:val="28"/>
      <w:szCs w:val="28"/>
    </w:rPr>
  </w:style>
  <w:style w:type="character" w:styleId="905" w:customStyle="1">
    <w:name w:val="Основной текст Знак"/>
    <w:link w:val="877"/>
    <w:rPr>
      <w:rFonts w:ascii="Courier New" w:hAnsi="Courier New"/>
      <w:sz w:val="26"/>
    </w:rPr>
  </w:style>
  <w:style w:type="paragraph" w:styleId="906" w:customStyle="1">
    <w:name w:val="ConsPlusNormal"/>
    <w:rPr>
      <w:sz w:val="28"/>
      <w:szCs w:val="28"/>
    </w:rPr>
  </w:style>
  <w:style w:type="numbering" w:styleId="907" w:customStyle="1">
    <w:name w:val="Нет списка11"/>
    <w:next w:val="875"/>
    <w:uiPriority w:val="99"/>
    <w:semiHidden/>
    <w:unhideWhenUsed/>
  </w:style>
  <w:style w:type="numbering" w:styleId="908" w:customStyle="1">
    <w:name w:val="Нет списка111"/>
    <w:next w:val="875"/>
    <w:uiPriority w:val="99"/>
    <w:semiHidden/>
    <w:unhideWhenUsed/>
  </w:style>
  <w:style w:type="paragraph" w:styleId="909" w:customStyle="1">
    <w:name w:val="font5"/>
    <w:basedOn w:val="87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0" w:customStyle="1">
    <w:name w:val="xl80"/>
    <w:basedOn w:val="87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1" w:customStyle="1">
    <w:name w:val="xl81"/>
    <w:basedOn w:val="87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2" w:customStyle="1">
    <w:name w:val="xl82"/>
    <w:basedOn w:val="87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3">
    <w:name w:val="Table Grid"/>
    <w:basedOn w:val="874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4" w:customStyle="1">
    <w:name w:val="xl83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5" w:customStyle="1">
    <w:name w:val="xl84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6" w:customStyle="1">
    <w:name w:val="xl85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86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7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9" w:customStyle="1">
    <w:name w:val="xl88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0" w:customStyle="1">
    <w:name w:val="xl89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90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91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2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93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4"/>
    <w:basedOn w:val="87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5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6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7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8"/>
    <w:basedOn w:val="87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0" w:customStyle="1">
    <w:name w:val="xl99"/>
    <w:basedOn w:val="87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100"/>
    <w:basedOn w:val="87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 w:customStyle="1">
    <w:name w:val="xl101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02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3"/>
    <w:basedOn w:val="87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4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5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6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7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8"/>
    <w:basedOn w:val="87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9"/>
    <w:basedOn w:val="87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10"/>
    <w:basedOn w:val="87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11"/>
    <w:basedOn w:val="87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2"/>
    <w:basedOn w:val="87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4" w:customStyle="1">
    <w:name w:val="xl113"/>
    <w:basedOn w:val="87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4"/>
    <w:basedOn w:val="87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5"/>
    <w:basedOn w:val="87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7" w:customStyle="1">
    <w:name w:val="xl116"/>
    <w:basedOn w:val="87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7"/>
    <w:basedOn w:val="87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8"/>
    <w:basedOn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9"/>
    <w:basedOn w:val="87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20"/>
    <w:basedOn w:val="87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2" w:customStyle="1">
    <w:name w:val="xl121"/>
    <w:basedOn w:val="87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3" w:customStyle="1">
    <w:name w:val="xl122"/>
    <w:basedOn w:val="87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3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4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5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7" w:customStyle="1">
    <w:name w:val="Нет списка2"/>
    <w:next w:val="875"/>
    <w:uiPriority w:val="99"/>
    <w:semiHidden/>
    <w:unhideWhenUsed/>
  </w:style>
  <w:style w:type="numbering" w:styleId="958" w:customStyle="1">
    <w:name w:val="Нет списка3"/>
    <w:next w:val="875"/>
    <w:uiPriority w:val="99"/>
    <w:semiHidden/>
    <w:unhideWhenUsed/>
  </w:style>
  <w:style w:type="paragraph" w:styleId="959" w:customStyle="1">
    <w:name w:val="font6"/>
    <w:basedOn w:val="87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0" w:customStyle="1">
    <w:name w:val="font7"/>
    <w:basedOn w:val="87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1" w:customStyle="1">
    <w:name w:val="font8"/>
    <w:basedOn w:val="87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2" w:customStyle="1">
    <w:name w:val="Нет списка4"/>
    <w:next w:val="875"/>
    <w:uiPriority w:val="99"/>
    <w:semiHidden/>
    <w:unhideWhenUsed/>
  </w:style>
  <w:style w:type="paragraph" w:styleId="963">
    <w:name w:val="List Paragraph"/>
    <w:basedOn w:val="87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4" w:customStyle="1">
    <w:name w:val="Нижний колонтитул Знак"/>
    <w:link w:val="87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ismagilova-ef</cp:lastModifiedBy>
  <cp:revision>4</cp:revision>
  <dcterms:created xsi:type="dcterms:W3CDTF">2024-10-25T06:26:00Z</dcterms:created>
  <dcterms:modified xsi:type="dcterms:W3CDTF">2025-10-02T10:18:15Z</dcterms:modified>
</cp:coreProperties>
</file>