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568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15910</wp:posOffset>
                </wp:positionV>
                <wp:extent cx="6285864" cy="12789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278949"/>
                          <a:chOff x="0" y="0"/>
                          <a:chExt cx="6285863" cy="127894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278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3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0" y="955099"/>
                            <a:ext cx="1795959" cy="32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3033" y="888424"/>
                            <a:ext cx="1282829" cy="322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4656;o:allowoverlap:true;o:allowincell:true;mso-position-horizontal-relative:text;margin-left:0.00pt;mso-position-horizontal:absolute;mso-position-vertical-relative:text;margin-top:1.25pt;mso-position-vertical:absolute;width:494.95pt;height:100.70pt;mso-wrap-distance-left:9.00pt;mso-wrap-distance-top:0.00pt;mso-wrap-distance-right:9.00pt;mso-wrap-distance-bottom:0.00pt;" coordorigin="0,0" coordsize="62858,12789">
                <v:shape id="shape 2" o:spid="_x0000_s2" o:spt="202" type="#_x0000_t202" style="position:absolute;left:0;top:0;width:62858;height:12789;visibility:visible;" fillcolor="#FFFFFF" stroked="f">
                  <v:textbox inset="0,0,0,0">
                    <w:txbxContent>
                      <w:p>
                        <w:pPr>
                          <w:pStyle w:val="903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0;top:9550;width:17959;height:3238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30;top:8884;width:12828;height:3223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</w:t>
      </w:r>
      <w:r>
        <w:rPr>
          <w:b/>
          <w:sz w:val="28"/>
          <w:szCs w:val="28"/>
        </w:rPr>
        <w:t xml:space="preserve">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Ад</w:t>
      </w:r>
      <w:r>
        <w:rPr>
          <w:b/>
          <w:bCs/>
          <w:sz w:val="28"/>
          <w:szCs w:val="28"/>
        </w:rPr>
        <w:t xml:space="preserve">министративный регламент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предоставления департаментом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градостроительства и архитектуры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муниципальной услуги «Направление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уведомления о планируемом сносе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объекта капитального строительства </w:t>
        <w:br/>
        <w:t xml:space="preserve">и уведомления о завершении сноса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объекта капитального стро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тельства»,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дминистрации города Перми </w:t>
        <w:br/>
      </w:r>
      <w:r>
        <w:rPr>
          <w:b/>
          <w:bCs/>
          <w:sz w:val="28"/>
          <w:szCs w:val="28"/>
        </w:rPr>
        <w:t xml:space="preserve">от 30.11.</w:t>
      </w:r>
      <w:r>
        <w:rPr>
          <w:b/>
          <w:bCs/>
          <w:sz w:val="28"/>
          <w:szCs w:val="28"/>
        </w:rPr>
        <w:t xml:space="preserve">2021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</w:t>
      </w:r>
      <w:r>
        <w:rPr>
          <w:b/>
          <w:bCs/>
          <w:sz w:val="28"/>
          <w:szCs w:val="28"/>
        </w:rPr>
        <w:t xml:space="preserve"> 1072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8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</w:t>
      </w:r>
      <w:r>
        <w:rPr>
          <w:sz w:val="28"/>
          <w:szCs w:val="28"/>
        </w:rPr>
        <w:t xml:space="preserve">остановлением Правительства Российской Федерации </w:t>
        <w:br/>
        <w:t xml:space="preserve">от 19 июня 2025 г. № 923 «О проведении на территории Российской Федерации эксперимента по повышению качества предоставления государственных, муниципальных услуг (сервисов, функций), реализации жизненных сит</w:t>
      </w:r>
      <w:r>
        <w:rPr>
          <w:sz w:val="28"/>
          <w:szCs w:val="28"/>
        </w:rPr>
        <w:t xml:space="preserve">уаций, а также увеличению доли предоставления массовых социально значимых государственных и муниципальных услуг в электронной форме, в том числе в целях реализации инициативы социально-экономического развития Российской Федерации «Государство для людей»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9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</w:t>
      </w:r>
      <w:r>
        <w:rPr>
          <w:sz w:val="28"/>
          <w:szCs w:val="28"/>
        </w:rPr>
        <w:t xml:space="preserve">министративный регламент</w:t>
      </w:r>
      <w:r>
        <w:rPr>
          <w:sz w:val="28"/>
          <w:szCs w:val="28"/>
        </w:rPr>
        <w:t xml:space="preserve"> предоставления департаментом градостроительства и архитектуры администрации города Перми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тельства», утвержденный постановлением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города Перми </w:t>
      </w:r>
      <w:r>
        <w:rPr>
          <w:sz w:val="28"/>
          <w:szCs w:val="28"/>
        </w:rPr>
        <w:t xml:space="preserve">от 30 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ября </w:t>
      </w:r>
      <w:r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1072</w:t>
      </w:r>
      <w:r>
        <w:rPr>
          <w:sz w:val="28"/>
          <w:szCs w:val="28"/>
        </w:rPr>
        <w:t xml:space="preserve"> (в ред. от 31.01.2024 № 53, от 28.05.2024 № 409, от 13.05.2025 </w:t>
        <w:br/>
        <w:t xml:space="preserve">№ 314)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в пункте 2.4: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1.1.1. </w:t>
      </w:r>
      <w:r>
        <w:rPr>
          <w:sz w:val="28"/>
          <w:szCs w:val="28"/>
          <w:highlight w:val="none"/>
        </w:rPr>
        <w:t xml:space="preserve">в абзаце первом цифру «7» заменить </w:t>
      </w:r>
      <w:r>
        <w:rPr>
          <w:sz w:val="28"/>
          <w:szCs w:val="28"/>
          <w:highlight w:val="none"/>
        </w:rPr>
        <w:t xml:space="preserve">цифрой</w:t>
      </w:r>
      <w:r>
        <w:rPr>
          <w:sz w:val="28"/>
          <w:szCs w:val="28"/>
          <w:highlight w:val="none"/>
        </w:rPr>
        <w:t xml:space="preserve"> «5»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1.1.2. в абзаце втором цифру «7» заменить цифрой «5»;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в пункте 3.1.1: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1.2.1. абзац третий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«проверка Уведомления о планируемом сносе/о завершении сноса </w:t>
        <w:br/>
        <w:t xml:space="preserve">с представленными документами, подготовка и подписание результата муниципальной услуги</w:t>
      </w:r>
      <w:r>
        <w:rPr>
          <w:sz w:val="28"/>
          <w:szCs w:val="28"/>
          <w:highlight w:val="none"/>
        </w:rPr>
        <w:t xml:space="preserve">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1.2.2. абзац четвертый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1.2.3. абзац пятый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«направление результата муниципальной услуги;»;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абзац первый пункта 3.1.3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3.1.3. </w:t>
      </w:r>
      <w:r>
        <w:rPr>
          <w:sz w:val="28"/>
          <w:szCs w:val="28"/>
          <w:highlight w:val="none"/>
        </w:rPr>
        <w:t xml:space="preserve">проверка Уведомления о планируемом сносе/о завершении сноса </w:t>
        <w:br/>
        <w:t xml:space="preserve">с представленными документами, подготовка и подписание результата муниципальной услуги</w:t>
      </w:r>
      <w:r>
        <w:rPr>
          <w:sz w:val="28"/>
          <w:szCs w:val="28"/>
          <w:highlight w:val="none"/>
        </w:rPr>
        <w:t xml:space="preserve">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в абзаце четвертом пункта 3.1.3.2 цифру «6» заменить цифрой «4»;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1.5. пункт 3.1.3.4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«3.1.3.4.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должностное лицо рассматривает проект извещения о приеме Уведомления о планируемом сносе/о завершении сноса (проект решения об отказе в предоставлении муниципальной услуги) на соответствие утвержденной форме, действующему законодательству, а также документ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ам, на основании которых </w:t>
        <w:br/>
        <w:t xml:space="preserve">он подготовлен.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наличии замечаний должностного лица, не позволяющего согласовать проект извещения о приеме Уведомления о планируемом сносе/о завершении сноса (проект решения об отказе в предоставлении муниципальной услуги), должностное лицо возвращает его ответственно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 специалисту для устранения замечаний.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Замечания подлежат устранению ответственным специалистом в тот же день.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отсутствии замечаний должностное лицо осуществляет подписание извещения о приеме Уведомления о планируемом сносе/о завершении сноса (решения об отказе в предоставлении муниципальной услуги) и передает ответственному специалисту для размещения Уведомлен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о планируемом сносе/о завершении сноса в ГИСОГД и уведомления о таком размещении органа регионального государственного строительного надзора;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1.6. пункт 3.1.3.5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«3.1.3.5.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ответственный специалист: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регистрирует в системе электронного документооборота извещение о приеме Уведомления о планируемом сносе/о завершении сноса либо решение об отказе </w:t>
        <w:br/>
        <w:t xml:space="preserve">в предоставлении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№ 277, заносит сведения о результатах предоставления муниципальной услуги в государственную информационную систему и направляет в личный кабинет Заявителя на Едином портале статус о ходе муниципальной услуги «Услуга оказ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на» (в случае принятия решения о выдаче извещения о приеме Уведомления о планируемом сносе/о завершении сноса) либо «Отказано в предоставлении услуги» (в случае принятия решения об отказе в предоставлении муниципальной услуги), в том числе результат предо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ставления муниципальной услуги в форме электронного документа, подписанного усиленной квалифицированной электронной подписью должностного лица;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размещает Уведомление о планируемом сносе и документы, указанные </w:t>
        <w:br/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абзацах одиннадцатом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двенадцатом пункта 2.6.1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либо Уведомление о завершении сноса в ГИСОГД и уведомляет о таком размещении орган регионального государственного строительного надзора;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случае подачи Заявителем Уведомления о планируемом сносе/о завершении сноса с представленными документами через Единый портал, Региональный портал, ГИСОГД результат предоставления услуги направляется Заявителю в личный кабинет на Едином портале, Регионал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ьном портале, ГИСОГД в форме электронного документа, подписанного усиленной квалифицированной электронной подписью должностного лица;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случае указания в Уведомлении о планируемом сносе/о завершении сноса </w:t>
        <w:br/>
        <w:t xml:space="preserve">о необходимости получения результата предоставления муниципальной услуги </w:t>
        <w:br/>
        <w:t xml:space="preserve">в Департаменте, через МФЦ либо посредством почтовой связи передает в отдел приема-выдачи документов управления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общим вопросам Департамента извещение о приеме Уведомления о планируемом сносе/о завершении сноса (решение об отказе в предоставлении муниципальной услуги) на бумажном носителе в виде заверенной копии электронного документа не позднее 10.00 час. рабочего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дня, следующего за последним днем подписания извещения о приеме Уведомления о планируемом сносе/о завершении сноса (решение об отказе в предоставлении муниципальной услуги) на бумажном носителе в виде заверенной копии электронного документа для направлени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(выдачи) Заявителю;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1.7. дополнить пунктами 3.1.3.6, 3.1.3.7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«3.1.3.6.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подписанное </w:t>
        <w:br/>
        <w:t xml:space="preserve">и переданное в отдел приема-выдачи документов управления по общим вопросам Департамента извещение о приеме Уведомления о планируемом сносе/о завершении сноса (решение об отказе в предоста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влении муниципальной услуги), а также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3.1.3.7. максимальный срок административной процедуры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 более 3 рабочих дней со дня поступления Уведомления о планируемом сносе/о завершении сноса с представленными документами ответственному специалисту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1.8. </w:t>
      </w:r>
      <w:r>
        <w:rPr>
          <w:sz w:val="28"/>
          <w:szCs w:val="28"/>
          <w:highlight w:val="white"/>
        </w:rPr>
        <w:t xml:space="preserve">пункт 3.1.4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«3.1.4. направление результата муниципальной услуги: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3.1.4.1. основанием для начала административной процедуры является поступление подписанного извещения о приеме Уведомления о планируемом сносе/о завершении сноса (решения об отказе в предоставлении муниципальной услуги) на бумажном носителе в виде заверенн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ой копии электронного документа в отдел приема-выдачи документов управления по общим вопросам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извещения о приеме Уведомления о планируемом сносе/о завершении сноса (решения об отказе в предоставлении муниципальной услуги) осуществляет специалист, ответственный за выдачу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3.1.4.2. специалист, ответственный за выдачу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правляет (выдает) способом, определенным Заявителем в Уведомлении </w:t>
        <w:br/>
        <w:t xml:space="preserve">о планируемом сносе/о завершении сноса, подписанное извещение о приеме Уведомления о планируемом сносе/о завершении сноса (решение об отказе </w:t>
        <w:br/>
        <w:t xml:space="preserve">в предоставлении муниципальной услуги) на бумаж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ном носителе в виде заверенной копии электронного документа;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3.1.4.3. результатом административной процедуры является направление способом, определенным Заявителем в Уведомлении о планируемом сносе/о завершении сноса, извещения о приеме Уведомления о планируемом сносе/о завершении сноса (решения об отказе в предоста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влении муниципальной услуги).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случае указания в Уведомлении о планируемом сносе/о завершении сноса, направленном посредством Единого портала, Регионального портала, о необходимости получения результата муниципальной услуги дополнительно на бумажном носителе специалист, ответственный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выдачу документов, направляет (выдает) Заявителю результат предоставления муниципальной услуги на бумажном носителе в виде заверенной копии электронного документа способом, определенным Заявителем в Уведомлении о планируемом сносе/о завершении сноса (че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 МФЦ, в Департаменте).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случае указания в Уведомлении о планируемом сносе/о завершении сноса о необходимости получения результата предоставления муниципальной услуги </w:t>
        <w:br/>
        <w:t xml:space="preserve">на бумажном носителе законным представителем несовершеннолетнего, не являющимся Заявителем, специалист, ответс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венный за выдачу документов, выдает законному представителю несовершеннолетнего, не являющемуся Заявителем и указанному в Уведомлении о планируемом сносе/о завершении сноса, результат предоставления муниципальной услуги на бумажном носителе в виде завер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енной копии электронного документа способом, определенным в Уведомлении о планируемом сносе/о завершении сноса (в Департаменте, через МФЦ).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случае указания в Уведомлении о планируемом сносе/о завершении сноса </w:t>
        <w:br/>
        <w:t xml:space="preserve">о необходимости получения результата муниципальной услуги в форме электронного документа на электронном носителе результат предоставления муниципальной услуги в форме электронного докум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ента, подписанного усиленной квалифицированной электронной подписью должностного лица, в одном экземпляре выдается Заявителю на электронном носителе.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случае неполучения Заявителем результата муниципальной услуги на бумажном носителе в виде заверенной копии электронного документа результат муниципальной услуги хранится в отделе приема-выдачи документов управления </w:t>
        <w:br/>
        <w:t xml:space="preserve">по общим вопросам Департамента до востр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ебования;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.1.4.4. максимальный срок административной процедуры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не более 1 рабочего дня, следующего за днем подписания и передачи специалисту, ответственному за выдачу документов, извещения о приеме Уведомления о планируемом сносе/о завершении сноса (решения об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казе в предоставлении муниципальной услуги) на бумажном носителе в виде заверенной копии электронного документа;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1.9. пункт 3.1.5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«3.1.5. блок-схема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прохождения административных процедур при предоставлении муниципальной услуги приведена в приложении 6 к настоящему Административному регламенту.»;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1.10. пункт 3.1.6 признать утратившим силу;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sz w:val="28"/>
          <w:szCs w:val="28"/>
          <w:highlight w:val="none"/>
        </w:rPr>
        <w:t xml:space="preserve">1.11.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изложить в редакции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Департаменту градостроительства и архитектуры администрации города Перми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изменение информации о муниципальной услуге в федеральной государственной информационной системе «Федеральный реестр государственных и муниципальных услуг (функций)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в уст</w:t>
      </w:r>
      <w:r>
        <w:rPr>
          <w:sz w:val="28"/>
          <w:szCs w:val="28"/>
          <w:highlight w:val="none"/>
        </w:rPr>
        <w:t xml:space="preserve">ановленном адми</w:t>
      </w:r>
      <w:r>
        <w:rPr>
          <w:sz w:val="28"/>
          <w:szCs w:val="28"/>
          <w:highlight w:val="none"/>
        </w:rPr>
        <w:t xml:space="preserve">нистрацией города Перми порядке</w:t>
      </w:r>
      <w:r>
        <w:rPr>
          <w:sz w:val="28"/>
          <w:szCs w:val="28"/>
          <w:highlight w:val="none"/>
        </w:rPr>
        <w:t xml:space="preserve"> не позднее 3 рабочих дней со дня вступления в силу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  <w:t xml:space="preserve">актуализацию технологической схемы оказания муниципальной услуги, переданной</w:t>
      </w:r>
      <w:r>
        <w:rPr>
          <w:bCs/>
          <w:sz w:val="28"/>
          <w:szCs w:val="28"/>
          <w:highlight w:val="none"/>
        </w:rPr>
        <w:t xml:space="preserve"> для оказания в государственное бюджетное учреждение Перм</w:t>
      </w:r>
      <w:r>
        <w:rPr>
          <w:bCs/>
          <w:sz w:val="28"/>
          <w:szCs w:val="28"/>
          <w:highlight w:val="none"/>
        </w:rPr>
        <w:t xml:space="preserve">ского края «Пермский краевой многофункциональный центр предоставления государственных и муниципальных услуг» (далее – МФЦ), и ее направление в адрес МФЦ </w:t>
      </w:r>
      <w:r>
        <w:rPr>
          <w:bCs/>
          <w:sz w:val="28"/>
          <w:szCs w:val="28"/>
          <w:highlight w:val="none"/>
        </w:rPr>
        <w:t xml:space="preserve">в течение 30 календарных дней со дня вступления в силу настоящего постановления</w:t>
      </w:r>
      <w:r>
        <w:rPr>
          <w:bCs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актуализацию Реестра основных межведомственных и внутриведомственных процессов </w:t>
      </w:r>
      <w:r>
        <w:rPr>
          <w:sz w:val="28"/>
          <w:szCs w:val="28"/>
        </w:rPr>
        <w:t xml:space="preserve">в департаменте градостроительства </w:t>
      </w:r>
      <w:r>
        <w:rPr>
          <w:sz w:val="28"/>
          <w:szCs w:val="28"/>
        </w:rPr>
        <w:t xml:space="preserve">и архитектуры администрации </w:t>
      </w:r>
      <w:r>
        <w:rPr>
          <w:sz w:val="28"/>
          <w:szCs w:val="28"/>
        </w:rPr>
        <w:t xml:space="preserve">города Перм</w:t>
      </w:r>
      <w:r>
        <w:rPr>
          <w:sz w:val="28"/>
          <w:szCs w:val="28"/>
        </w:rPr>
        <w:t xml:space="preserve">и, утвержденного правовым актом </w:t>
      </w:r>
      <w:r>
        <w:rPr>
          <w:sz w:val="28"/>
          <w:szCs w:val="28"/>
        </w:rPr>
        <w:t xml:space="preserve">департамента градостроительства </w:t>
      </w:r>
      <w:r>
        <w:rPr>
          <w:sz w:val="28"/>
          <w:szCs w:val="28"/>
        </w:rPr>
        <w:t xml:space="preserve">и архитектуры администрации </w:t>
      </w:r>
      <w:r>
        <w:rPr>
          <w:sz w:val="28"/>
          <w:szCs w:val="28"/>
        </w:rPr>
        <w:t xml:space="preserve">города Перм</w:t>
      </w:r>
      <w:r>
        <w:rPr>
          <w:sz w:val="28"/>
          <w:szCs w:val="28"/>
        </w:rPr>
        <w:t xml:space="preserve">и,</w:t>
      </w:r>
      <w:r>
        <w:rPr>
          <w:bCs/>
          <w:sz w:val="28"/>
          <w:szCs w:val="28"/>
          <w:highlight w:val="none"/>
        </w:rPr>
        <w:t xml:space="preserve"> не позднее 10 рабочих дней со дня вступления в силу настоящего постановления.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</w:rPr>
        <w:t xml:space="preserve">стоящее постанов</w:t>
      </w:r>
      <w:r>
        <w:rPr>
          <w:sz w:val="28"/>
          <w:szCs w:val="28"/>
        </w:rPr>
        <w:t xml:space="preserve">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4. Управлению по общим во</w:t>
      </w:r>
      <w:r>
        <w:rPr>
          <w:sz w:val="28"/>
          <w:szCs w:val="28"/>
        </w:rPr>
        <w:t xml:space="preserve">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Синева</w:t>
      </w:r>
      <w:r>
        <w:rPr>
          <w:sz w:val="28"/>
          <w:szCs w:val="28"/>
          <w:highlight w:val="none"/>
        </w:rPr>
        <w:t xml:space="preserve"> А</w:t>
      </w:r>
      <w:r>
        <w:rPr>
          <w:sz w:val="28"/>
          <w:szCs w:val="28"/>
          <w:highlight w:val="none"/>
        </w:rPr>
        <w:t xml:space="preserve">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 Главы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Д.К. Галиханов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5" w:h="16838" w:orient="portrait"/>
          <w:pgMar w:top="1134" w:right="567" w:bottom="1134" w:left="1418" w:header="363" w:footer="709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к постановлению администрации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города Перми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01.10.2025 № 694</w:t>
      </w:r>
      <w:r>
        <w:rPr>
          <w:color w:val="000000"/>
          <w:sz w:val="28"/>
          <w:szCs w:val="28"/>
        </w:rPr>
      </w:r>
    </w:p>
    <w:p>
      <w:pPr>
        <w:ind w:left="5670"/>
        <w:spacing w:line="240" w:lineRule="exact"/>
        <w:tabs>
          <w:tab w:val="left" w:pos="1276" w:leader="none"/>
          <w:tab w:val="left" w:pos="1560" w:leader="none"/>
        </w:tabs>
      </w:pPr>
      <w:r>
        <w:rPr>
          <w:color w:val="000000"/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БЛОК-СХЕМА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прохождения административных процедур при предоставлении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услуги 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Направление уведомления о планируемом сносе объекта капитального строительства и уведомления о завершении сноса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объекта капитального стро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тельства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98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  <w:gridCol w:w="6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Прием, регистрация Уведомления о планируемом сносе/о завершении сноса </w:t>
              <w:br/>
              <w:t xml:space="preserve">с предоставленными документами/отказ в приеме документов </w:t>
            </w:r>
            <w:r>
              <w:rPr>
                <w:sz w:val="28"/>
                <w:szCs w:val="28"/>
              </w:rPr>
              <w:t xml:space="preserve">– не более 1 рабочего дня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85" w:type="dxa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7216" behindDoc="0" locked="0" layoutInCell="1" allowOverlap="1">
                      <wp:simplePos x="0" y="0"/>
                      <wp:positionH relativeFrom="column">
                        <wp:posOffset>3099140</wp:posOffset>
                      </wp:positionH>
                      <wp:positionV relativeFrom="paragraph">
                        <wp:posOffset>-55121</wp:posOffset>
                      </wp:positionV>
                      <wp:extent cx="0" cy="20955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20954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arrow" len="me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5" o:spid="_x0000_s5" style="position:absolute;left:0;text-align:left;z-index:251657216;mso-wrap-distance-left:9.07pt;mso-wrap-distance-top:0.00pt;mso-wrap-distance-right:9.07pt;mso-wrap-distance-bottom:0.00pt;visibility:visible;" from="244.0pt,-4.3pt" to="244.0pt,12.2pt" filled="f" strokecolor="#000000" strokeweight="0.75pt">
                      <v:stroke dashstyle="solid"/>
                    </v:lin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Проверка Уведомления о планируемом сносе/о завершении сноса </w:t>
              <w:br/>
              <w:t xml:space="preserve">с представленными документами, подготовка и подписание результата муниципальной услуги</w:t>
            </w:r>
            <w:r>
              <w:rPr>
                <w:sz w:val="28"/>
                <w:szCs w:val="28"/>
                <w:highlight w:val="none"/>
              </w:rPr>
              <w:t xml:space="preserve">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</w:t>
            </w:r>
            <w:r>
              <w:rPr>
                <w:bCs/>
                <w:sz w:val="28"/>
                <w:szCs w:val="28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 более 3 рабочих дней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85" w:type="dxa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8240" behindDoc="0" locked="0" layoutInCell="1" allowOverlap="1">
                      <wp:simplePos x="0" y="0"/>
                      <wp:positionH relativeFrom="column">
                        <wp:posOffset>3099140</wp:posOffset>
                      </wp:positionH>
                      <wp:positionV relativeFrom="paragraph">
                        <wp:posOffset>-42465</wp:posOffset>
                      </wp:positionV>
                      <wp:extent cx="0" cy="209550"/>
                      <wp:effectExtent l="0" t="0" r="0" b="0"/>
                      <wp:wrapNone/>
                      <wp:docPr id="4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0" cy="20954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arrow" len="me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6" o:spid="_x0000_s6" style="position:absolute;left:0;text-align:left;z-index:251658240;mso-wrap-distance-left:9.07pt;mso-wrap-distance-top:0.00pt;mso-wrap-distance-right:9.07pt;mso-wrap-distance-bottom:0.00pt;rotation:0;visibility:visible;" from="244.0pt,-3.3pt" to="244.0pt,13.2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Направление результата муниципальной услуги</w:t>
            </w:r>
            <w:r>
              <w:rPr>
                <w:bCs/>
                <w:sz w:val="28"/>
                <w:szCs w:val="28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 более 1 рабочего дня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5" w:h="16838" w:orient="portrait"/>
      <w:pgMar w:top="1134" w:right="567" w:bottom="1134" w:left="1418" w:header="363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997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691">
    <w:name w:val="Heading 2"/>
    <w:basedOn w:val="689"/>
    <w:next w:val="689"/>
    <w:link w:val="990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692">
    <w:name w:val="Heading 3"/>
    <w:basedOn w:val="689"/>
    <w:next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table" w:styleId="702">
    <w:name w:val="Plain Table 1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7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7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7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5 Dark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>
    <w:name w:val="Grid Table 7 Colorful"/>
    <w:basedOn w:val="7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basedOn w:val="7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basedOn w:val="7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3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5 Dark"/>
    <w:basedOn w:val="7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9">
    <w:name w:val="List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0">
    <w:name w:val="List Table 7 Colorful"/>
    <w:basedOn w:val="7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1" w:customStyle="1">
    <w:name w:val="Title Char"/>
    <w:basedOn w:val="699"/>
    <w:uiPriority w:val="10"/>
    <w:rPr>
      <w:sz w:val="48"/>
      <w:szCs w:val="48"/>
    </w:rPr>
  </w:style>
  <w:style w:type="character" w:styleId="722" w:customStyle="1">
    <w:name w:val="Subtitle Char"/>
    <w:basedOn w:val="699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paragraph" w:styleId="725" w:customStyle="1">
    <w:name w:val="Заголовок 11"/>
    <w:basedOn w:val="689"/>
    <w:next w:val="689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 w:customStyle="1">
    <w:name w:val="Heading 1 Char"/>
    <w:link w:val="725"/>
    <w:uiPriority w:val="9"/>
    <w:rPr>
      <w:rFonts w:ascii="Arial" w:hAnsi="Arial" w:eastAsia="Arial" w:cs="Arial"/>
      <w:sz w:val="40"/>
      <w:szCs w:val="40"/>
    </w:rPr>
  </w:style>
  <w:style w:type="paragraph" w:styleId="727" w:customStyle="1">
    <w:name w:val="Заголовок 21"/>
    <w:basedOn w:val="689"/>
    <w:next w:val="689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8" w:customStyle="1">
    <w:name w:val="Heading 2 Char"/>
    <w:link w:val="727"/>
    <w:uiPriority w:val="9"/>
    <w:rPr>
      <w:rFonts w:ascii="Arial" w:hAnsi="Arial" w:eastAsia="Arial" w:cs="Arial"/>
      <w:sz w:val="34"/>
    </w:rPr>
  </w:style>
  <w:style w:type="paragraph" w:styleId="729" w:customStyle="1">
    <w:name w:val="Заголовок 31"/>
    <w:basedOn w:val="689"/>
    <w:next w:val="689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 w:customStyle="1">
    <w:name w:val="Heading 3 Char"/>
    <w:link w:val="729"/>
    <w:uiPriority w:val="9"/>
    <w:rPr>
      <w:rFonts w:ascii="Arial" w:hAnsi="Arial" w:eastAsia="Arial" w:cs="Arial"/>
      <w:sz w:val="30"/>
      <w:szCs w:val="30"/>
    </w:rPr>
  </w:style>
  <w:style w:type="paragraph" w:styleId="731" w:customStyle="1">
    <w:name w:val="Заголовок 41"/>
    <w:basedOn w:val="689"/>
    <w:next w:val="689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4 Char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 w:customStyle="1">
    <w:name w:val="Заголовок 51"/>
    <w:basedOn w:val="689"/>
    <w:next w:val="689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5 Char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 w:customStyle="1">
    <w:name w:val="Заголовок 61"/>
    <w:basedOn w:val="689"/>
    <w:next w:val="689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6 Char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 w:customStyle="1">
    <w:name w:val="Заголовок 71"/>
    <w:basedOn w:val="689"/>
    <w:next w:val="68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7 Char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 w:customStyle="1">
    <w:name w:val="Заголовок 81"/>
    <w:basedOn w:val="689"/>
    <w:next w:val="689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8 Char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 w:customStyle="1">
    <w:name w:val="Заголовок 91"/>
    <w:basedOn w:val="689"/>
    <w:next w:val="68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Heading 9 Char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5">
    <w:name w:val="Title"/>
    <w:basedOn w:val="689"/>
    <w:next w:val="68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link w:val="745"/>
    <w:uiPriority w:val="10"/>
    <w:rPr>
      <w:sz w:val="48"/>
      <w:szCs w:val="48"/>
    </w:rPr>
  </w:style>
  <w:style w:type="paragraph" w:styleId="747">
    <w:name w:val="Subtitle"/>
    <w:basedOn w:val="689"/>
    <w:next w:val="689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689"/>
    <w:next w:val="689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689"/>
    <w:next w:val="689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 w:customStyle="1">
    <w:name w:val="Верхний колонтитул1"/>
    <w:basedOn w:val="689"/>
    <w:link w:val="75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4" w:customStyle="1">
    <w:name w:val="Header Char"/>
    <w:link w:val="753"/>
    <w:uiPriority w:val="99"/>
  </w:style>
  <w:style w:type="paragraph" w:styleId="755" w:customStyle="1">
    <w:name w:val="Нижний колонтитул1"/>
    <w:basedOn w:val="689"/>
    <w:link w:val="75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6" w:customStyle="1">
    <w:name w:val="Footer Char"/>
    <w:uiPriority w:val="99"/>
  </w:style>
  <w:style w:type="paragraph" w:styleId="757" w:customStyle="1">
    <w:name w:val="Название объекта1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link w:val="755"/>
    <w:uiPriority w:val="99"/>
  </w:style>
  <w:style w:type="table" w:styleId="759">
    <w:name w:val="Table Grid"/>
    <w:basedOn w:val="70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/>
      <w:u w:val="single"/>
    </w:rPr>
  </w:style>
  <w:style w:type="paragraph" w:styleId="886">
    <w:name w:val="footnote text"/>
    <w:basedOn w:val="689"/>
    <w:link w:val="998"/>
  </w:style>
  <w:style w:type="character" w:styleId="887" w:customStyle="1">
    <w:name w:val="Footnote Text Char"/>
    <w:uiPriority w:val="99"/>
    <w:rPr>
      <w:sz w:val="18"/>
    </w:rPr>
  </w:style>
  <w:style w:type="character" w:styleId="888">
    <w:name w:val="footnote reference"/>
    <w:rPr>
      <w:vertAlign w:val="superscript"/>
    </w:rPr>
  </w:style>
  <w:style w:type="paragraph" w:styleId="889">
    <w:name w:val="endnote text"/>
    <w:basedOn w:val="689"/>
    <w:link w:val="999"/>
  </w:style>
  <w:style w:type="character" w:styleId="890" w:customStyle="1">
    <w:name w:val="Endnote Text Char"/>
    <w:uiPriority w:val="99"/>
    <w:rPr>
      <w:sz w:val="20"/>
    </w:rPr>
  </w:style>
  <w:style w:type="character" w:styleId="891">
    <w:name w:val="endnote reference"/>
    <w:rPr>
      <w:vertAlign w:val="superscript"/>
    </w:rPr>
  </w:style>
  <w:style w:type="paragraph" w:styleId="892">
    <w:name w:val="toc 1"/>
    <w:basedOn w:val="689"/>
    <w:next w:val="689"/>
    <w:uiPriority w:val="39"/>
    <w:unhideWhenUsed/>
    <w:pPr>
      <w:spacing w:after="57"/>
    </w:pPr>
  </w:style>
  <w:style w:type="paragraph" w:styleId="893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94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95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96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97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98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99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900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689"/>
    <w:next w:val="689"/>
    <w:uiPriority w:val="99"/>
    <w:unhideWhenUsed/>
  </w:style>
  <w:style w:type="paragraph" w:styleId="903">
    <w:name w:val="Caption"/>
    <w:basedOn w:val="689"/>
    <w:next w:val="689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4">
    <w:name w:val="Body Text"/>
    <w:basedOn w:val="689"/>
    <w:link w:val="930"/>
    <w:pPr>
      <w:ind w:right="3117"/>
    </w:pPr>
    <w:rPr>
      <w:rFonts w:ascii="Courier New" w:hAnsi="Courier New"/>
      <w:sz w:val="26"/>
      <w:lang w:val="en-US" w:eastAsia="en-US"/>
    </w:rPr>
  </w:style>
  <w:style w:type="paragraph" w:styleId="905">
    <w:name w:val="Body Text Indent"/>
    <w:basedOn w:val="689"/>
    <w:pPr>
      <w:ind w:right="-1"/>
      <w:jc w:val="both"/>
    </w:pPr>
    <w:rPr>
      <w:sz w:val="26"/>
    </w:rPr>
  </w:style>
  <w:style w:type="paragraph" w:styleId="906">
    <w:name w:val="Footer"/>
    <w:basedOn w:val="689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07">
    <w:name w:val="page number"/>
    <w:basedOn w:val="699"/>
  </w:style>
  <w:style w:type="paragraph" w:styleId="908">
    <w:name w:val="Header"/>
    <w:basedOn w:val="689"/>
    <w:link w:val="911"/>
    <w:uiPriority w:val="99"/>
    <w:pPr>
      <w:tabs>
        <w:tab w:val="center" w:pos="4153" w:leader="none"/>
        <w:tab w:val="right" w:pos="8306" w:leader="none"/>
      </w:tabs>
    </w:pPr>
  </w:style>
  <w:style w:type="paragraph" w:styleId="909">
    <w:name w:val="Balloon Text"/>
    <w:basedOn w:val="689"/>
    <w:link w:val="910"/>
    <w:uiPriority w:val="99"/>
    <w:rPr>
      <w:rFonts w:ascii="Segoe UI" w:hAnsi="Segoe UI"/>
      <w:sz w:val="18"/>
      <w:szCs w:val="18"/>
      <w:lang w:val="en-US" w:eastAsia="en-US"/>
    </w:rPr>
  </w:style>
  <w:style w:type="character" w:styleId="910" w:customStyle="1">
    <w:name w:val="Текст выноски Знак"/>
    <w:link w:val="909"/>
    <w:uiPriority w:val="99"/>
    <w:rPr>
      <w:rFonts w:ascii="Segoe UI" w:hAnsi="Segoe UI" w:cs="Segoe UI"/>
      <w:sz w:val="18"/>
      <w:szCs w:val="18"/>
    </w:rPr>
  </w:style>
  <w:style w:type="character" w:styleId="911" w:customStyle="1">
    <w:name w:val="Верхний колонтитул Знак"/>
    <w:link w:val="908"/>
    <w:uiPriority w:val="99"/>
  </w:style>
  <w:style w:type="numbering" w:styleId="912" w:customStyle="1">
    <w:name w:val="Нет списка1"/>
    <w:next w:val="701"/>
    <w:uiPriority w:val="99"/>
    <w:semiHidden/>
    <w:unhideWhenUsed/>
  </w:style>
  <w:style w:type="character" w:styleId="913">
    <w:name w:val="FollowedHyperlink"/>
    <w:uiPriority w:val="99"/>
    <w:unhideWhenUsed/>
    <w:rPr>
      <w:color w:val="800080"/>
      <w:u w:val="single"/>
    </w:rPr>
  </w:style>
  <w:style w:type="paragraph" w:styleId="914" w:customStyle="1">
    <w:name w:val="xl65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6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67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 w:customStyle="1">
    <w:name w:val="xl68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69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0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71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2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3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4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5"/>
    <w:basedOn w:val="6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6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7"/>
    <w:basedOn w:val="6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8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9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Форма"/>
    <w:rPr>
      <w:sz w:val="28"/>
      <w:szCs w:val="28"/>
      <w:lang w:eastAsia="ru-RU"/>
    </w:rPr>
  </w:style>
  <w:style w:type="character" w:styleId="930" w:customStyle="1">
    <w:name w:val="Основной текст Знак"/>
    <w:link w:val="904"/>
    <w:rPr>
      <w:rFonts w:ascii="Courier New" w:hAnsi="Courier New"/>
      <w:sz w:val="26"/>
    </w:rPr>
  </w:style>
  <w:style w:type="paragraph" w:styleId="931" w:customStyle="1">
    <w:name w:val="ConsPlusNormal"/>
    <w:rPr>
      <w:sz w:val="28"/>
      <w:szCs w:val="28"/>
      <w:lang w:eastAsia="ru-RU"/>
    </w:rPr>
  </w:style>
  <w:style w:type="numbering" w:styleId="932" w:customStyle="1">
    <w:name w:val="Нет списка11"/>
    <w:next w:val="701"/>
    <w:uiPriority w:val="99"/>
    <w:semiHidden/>
    <w:unhideWhenUsed/>
  </w:style>
  <w:style w:type="numbering" w:styleId="933" w:customStyle="1">
    <w:name w:val="Нет списка111"/>
    <w:next w:val="701"/>
    <w:uiPriority w:val="99"/>
    <w:semiHidden/>
    <w:unhideWhenUsed/>
  </w:style>
  <w:style w:type="paragraph" w:styleId="934" w:customStyle="1">
    <w:name w:val="font5"/>
    <w:basedOn w:val="6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5" w:customStyle="1">
    <w:name w:val="xl80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1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2"/>
    <w:basedOn w:val="6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8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9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0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1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2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9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4"/>
    <w:basedOn w:val="6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8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4" w:customStyle="1">
    <w:name w:val="xl99"/>
    <w:basedOn w:val="6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100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1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2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3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8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9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0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1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2"/>
    <w:basedOn w:val="6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8" w:customStyle="1">
    <w:name w:val="xl113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4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5"/>
    <w:basedOn w:val="6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1" w:customStyle="1">
    <w:name w:val="xl116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7"/>
    <w:basedOn w:val="6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8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9"/>
    <w:basedOn w:val="6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0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1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2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1" w:customStyle="1">
    <w:name w:val="Нет списка2"/>
    <w:next w:val="701"/>
    <w:uiPriority w:val="99"/>
    <w:semiHidden/>
    <w:unhideWhenUsed/>
  </w:style>
  <w:style w:type="numbering" w:styleId="982" w:customStyle="1">
    <w:name w:val="Нет списка3"/>
    <w:next w:val="701"/>
    <w:uiPriority w:val="99"/>
    <w:semiHidden/>
    <w:unhideWhenUsed/>
  </w:style>
  <w:style w:type="paragraph" w:styleId="983" w:customStyle="1">
    <w:name w:val="font6"/>
    <w:basedOn w:val="6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7"/>
    <w:basedOn w:val="6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8"/>
    <w:basedOn w:val="6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6" w:customStyle="1">
    <w:name w:val="Нет списка4"/>
    <w:next w:val="701"/>
    <w:uiPriority w:val="99"/>
    <w:semiHidden/>
    <w:unhideWhenUsed/>
  </w:style>
  <w:style w:type="character" w:styleId="987" w:customStyle="1">
    <w:name w:val="Нижний колонтитул Знак"/>
    <w:link w:val="906"/>
    <w:uiPriority w:val="99"/>
  </w:style>
  <w:style w:type="paragraph" w:styleId="988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89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0" w:customStyle="1">
    <w:name w:val="Заголовок 2 Знак"/>
    <w:link w:val="691"/>
    <w:rPr>
      <w:sz w:val="24"/>
    </w:rPr>
  </w:style>
  <w:style w:type="character" w:styleId="991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2">
    <w:name w:val="annotation reference"/>
    <w:rPr>
      <w:sz w:val="16"/>
      <w:szCs w:val="16"/>
    </w:rPr>
  </w:style>
  <w:style w:type="paragraph" w:styleId="993">
    <w:name w:val="annotation text"/>
    <w:basedOn w:val="689"/>
    <w:link w:val="994"/>
  </w:style>
  <w:style w:type="character" w:styleId="994" w:customStyle="1">
    <w:name w:val="Текст примечания Знак"/>
    <w:basedOn w:val="699"/>
    <w:link w:val="993"/>
  </w:style>
  <w:style w:type="paragraph" w:styleId="995">
    <w:name w:val="annotation subject"/>
    <w:basedOn w:val="993"/>
    <w:next w:val="993"/>
    <w:link w:val="996"/>
    <w:rPr>
      <w:b/>
      <w:bCs/>
      <w:lang w:val="en-US" w:eastAsia="en-US"/>
    </w:rPr>
  </w:style>
  <w:style w:type="character" w:styleId="996" w:customStyle="1">
    <w:name w:val="Тема примечания Знак"/>
    <w:link w:val="995"/>
    <w:rPr>
      <w:b/>
      <w:bCs/>
      <w:lang w:val="en-US" w:eastAsia="en-US"/>
    </w:rPr>
  </w:style>
  <w:style w:type="character" w:styleId="997" w:customStyle="1">
    <w:name w:val="Заголовок 1 Знак"/>
    <w:link w:val="690"/>
    <w:rPr>
      <w:sz w:val="24"/>
    </w:rPr>
  </w:style>
  <w:style w:type="character" w:styleId="998" w:customStyle="1">
    <w:name w:val="Текст сноски Знак"/>
    <w:basedOn w:val="699"/>
    <w:link w:val="886"/>
  </w:style>
  <w:style w:type="character" w:styleId="999" w:customStyle="1">
    <w:name w:val="Текст концевой сноски Знак"/>
    <w:basedOn w:val="699"/>
    <w:link w:val="889"/>
  </w:style>
  <w:style w:type="paragraph" w:styleId="1000">
    <w:name w:val="Normal (Web)"/>
    <w:basedOn w:val="68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01" w:customStyle="1">
    <w:name w:val="Гиперссылка1"/>
    <w:uiPriority w:val="99"/>
    <w:unhideWhenUsed/>
    <w:rPr>
      <w:color w:val="0000ff"/>
      <w:u w:val="single"/>
    </w:rPr>
  </w:style>
  <w:style w:type="paragraph" w:styleId="1002" w:customStyle="1">
    <w:name w:val="Заголовок 12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val="en-US" w:eastAsia="en-US"/>
    </w:rPr>
  </w:style>
  <w:style w:type="paragraph" w:styleId="1003" w:customStyle="1">
    <w:name w:val="Заголовок 1"/>
    <w:link w:val="821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004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60</cp:revision>
  <dcterms:created xsi:type="dcterms:W3CDTF">2024-12-26T04:27:00Z</dcterms:created>
  <dcterms:modified xsi:type="dcterms:W3CDTF">2025-10-01T10:31:23Z</dcterms:modified>
  <cp:version>786432</cp:version>
</cp:coreProperties>
</file>