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524687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568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0" y="0"/>
                          <a:chExt cx="6285864" cy="16617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66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6565" y="1342218"/>
                            <a:ext cx="1539395" cy="3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3035" y="1342218"/>
                            <a:ext cx="1090405" cy="255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465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0,0" coordsize="62858,16617">
                <v:shape id="shape 2" o:spid="_x0000_s2" o:spt="202" type="#_x0000_t202" style="position:absolute;left:0;top:0;width:62858;height:16617;visibility:visible;" fillcolor="#FFFFFF" stroked="f">
                  <v:textbox inset="0,0,0,0">
                    <w:txbxContent>
                      <w:p>
                        <w:pPr>
                          <w:pStyle w:val="9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6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65;top:13422;width:15393;height:319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30;top:13422;width:10904;height:255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  <w:t xml:space="preserve">в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Админ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истративный регламент </w:t>
        <w:br/>
        <w:t xml:space="preserve">предоставления департаментом </w:t>
        <w:br/>
        <w:t xml:space="preserve">градостроительства и архитектуры </w:t>
        <w:br/>
        <w:t xml:space="preserve">администрации города Перми </w:t>
        <w:br/>
        <w:t xml:space="preserve">муниципальной услуги «Направление уведомления о соответствии указанных в уведомлении о планируемых </w:t>
        <w:br/>
        <w:t xml:space="preserve">строительстве или реконструкции </w:t>
        <w:br/>
        <w:t xml:space="preserve">параметр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ов объекта индивидуального жи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лищн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ого строительства </w:t>
        <w:br/>
        <w:t xml:space="preserve">или садового дома установленным </w:t>
        <w:br/>
        <w:t xml:space="preserve">параметрам и допустимости </w:t>
        <w:br/>
        <w:t xml:space="preserve">размещения объекта индивидуального жилищного строительства </w:t>
        <w:br/>
        <w:t xml:space="preserve">или садового дома на земельном </w:t>
        <w:br/>
        <w:t xml:space="preserve">участке», утвержденный </w:t>
        <w:br/>
        <w:t xml:space="preserve">постановлением администрации города Перми от 06.03.2019 № 9-П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В соответствии с </w:t>
      </w:r>
      <w:r>
        <w:rPr>
          <w:sz w:val="28"/>
          <w:szCs w:val="28"/>
          <w:highlight w:val="none"/>
        </w:rPr>
        <w:t xml:space="preserve">постановлением Правительства Российской Федерации </w:t>
        <w:br/>
        <w:t xml:space="preserve">от 19 июня 2025 г. № 923 «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проведении на территории Российской Федерации эксперимента по повышению качества предоставления государственных, муниципальных услуг (сервисов, функций), реализации жизненных ситуаций, а также увеличению доли предоставления массовых социально значимых гос</w:t>
      </w:r>
      <w:r>
        <w:rPr>
          <w:sz w:val="28"/>
          <w:szCs w:val="28"/>
          <w:highlight w:val="none"/>
        </w:rPr>
        <w:t xml:space="preserve">ударственных </w:t>
        <w:br/>
        <w:t xml:space="preserve">и муниципальных услуг в электронной форме, в том числе в целях реализации инициативы социально-экономического развития Российской Федерации «Государство для людей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Устава города Перми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оптимизации сроков предоставления муниципальных услуг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Административный регламент предоставления департаментом градостроительства и архитектуры администрации города Перми муниципальной услуги «</w:t>
      </w:r>
      <w:r>
        <w:rPr>
          <w:sz w:val="28"/>
          <w:szCs w:val="28"/>
        </w:rPr>
        <w:t xml:space="preserve">Направление уведомления о 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</w:t>
      </w:r>
      <w:r>
        <w:rPr>
          <w:sz w:val="28"/>
          <w:szCs w:val="28"/>
        </w:rPr>
        <w:t xml:space="preserve">ного жилищного строительства </w:t>
        <w:br/>
        <w:t xml:space="preserve">или садового дома на земельном участке», утвержденный постановлением администрации города Перми от 06 марта 2019 г. № 9-П</w:t>
      </w:r>
      <w:r>
        <w:rPr>
          <w:sz w:val="28"/>
          <w:szCs w:val="28"/>
        </w:rPr>
        <w:t xml:space="preserve"> (в ред.</w:t>
      </w:r>
      <w:r>
        <w:rPr>
          <w:sz w:val="28"/>
          <w:szCs w:val="28"/>
        </w:rPr>
        <w:t xml:space="preserve"> от 30.12.2019 № 1128, </w:t>
        <w:br/>
        <w:t xml:space="preserve">от 24.11.2021 № 1048, от 07.12.2023 № 1389, от 28.05.2024 № 409, от 05.05.2025 </w:t>
        <w:br/>
        <w:t xml:space="preserve">№ 294)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следующие 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1.1. в пункте 2.4: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1.1.1.</w:t>
      </w:r>
      <w:r>
        <w:rPr>
          <w:sz w:val="28"/>
          <w:szCs w:val="28"/>
          <w:highlight w:val="none"/>
        </w:rPr>
        <w:t xml:space="preserve"> в абзаце третьем цифру «7» заменить цифрой «5»;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1.1.2. </w:t>
      </w:r>
      <w:r>
        <w:rPr>
          <w:sz w:val="28"/>
          <w:szCs w:val="28"/>
          <w:highlight w:val="none"/>
        </w:rPr>
        <w:t xml:space="preserve">в абзаце четвертом цифру «7» заменить цифрой «5»;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</w:t>
      </w:r>
      <w:r>
        <w:rPr>
          <w:sz w:val="28"/>
          <w:szCs w:val="28"/>
          <w:highlight w:val="none"/>
        </w:rPr>
        <w:t xml:space="preserve"> в пункте 3.3.3.2 цифру «5» заменить цифрой «3»;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приложение 2 изложить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Департаменту градостроительства и архитектуры администрации города Перми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изменение информации о муниципальной услуге в федеральной государственной информационной системе «Федеральный реестр государственных и муниципальных услуг (функций)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в уст</w:t>
      </w:r>
      <w:r>
        <w:rPr>
          <w:sz w:val="28"/>
          <w:szCs w:val="28"/>
          <w:highlight w:val="none"/>
        </w:rPr>
        <w:t xml:space="preserve">ановленном адми</w:t>
      </w:r>
      <w:r>
        <w:rPr>
          <w:sz w:val="28"/>
          <w:szCs w:val="28"/>
          <w:highlight w:val="none"/>
        </w:rPr>
        <w:t xml:space="preserve">нистрацией города Перми порядке</w:t>
      </w:r>
      <w:r>
        <w:rPr>
          <w:sz w:val="28"/>
          <w:szCs w:val="28"/>
          <w:highlight w:val="none"/>
        </w:rPr>
        <w:t xml:space="preserve"> не позднее 3 рабочих дней со дня вступления в силу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актуализацию технологической схемы оказания муниципальной услуги, переданной для оказания в государственное бюджетное учреждение Перм</w:t>
      </w:r>
      <w:r>
        <w:rPr>
          <w:bCs/>
          <w:sz w:val="28"/>
          <w:szCs w:val="28"/>
          <w:highlight w:val="none"/>
        </w:rPr>
        <w:t xml:space="preserve">ского края «Пермский краевой многофункциональный центр предоставления государственных и муниципальных услуг» (далее – МФЦ), и ее направление в адрес МФЦ </w:t>
      </w:r>
      <w:r>
        <w:rPr>
          <w:bCs/>
          <w:sz w:val="28"/>
          <w:szCs w:val="28"/>
          <w:highlight w:val="none"/>
        </w:rPr>
        <w:br/>
        <w:t xml:space="preserve">в течение 30 календарных дней со дня вступления в силу настоящего постановления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  <w:highlight w:val="none"/>
        </w:rPr>
        <w:t xml:space="preserve">Синева</w:t>
      </w:r>
      <w:r>
        <w:rPr>
          <w:sz w:val="28"/>
          <w:szCs w:val="28"/>
          <w:highlight w:val="none"/>
        </w:rPr>
        <w:t xml:space="preserve"> А</w:t>
      </w:r>
      <w:r>
        <w:rPr>
          <w:sz w:val="28"/>
          <w:szCs w:val="28"/>
          <w:highlight w:val="none"/>
        </w:rPr>
        <w:t xml:space="preserve">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Д.К. Галиханов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  <w:sectPr>
          <w:headerReference w:type="default" r:id="rId9"/>
          <w:headerReference w:type="first" r:id="rId10"/>
          <w:footerReference w:type="default" r:id="rId13"/>
          <w:footnotePr/>
          <w:endnotePr/>
          <w:type w:val="nextPage"/>
          <w:pgSz w:w="11905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01.10.2025 № 695</w:t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highlight w:val="none"/>
        </w:rPr>
        <w:outlineLvl w:val="0"/>
      </w:pPr>
      <w:r>
        <w:rPr>
          <w:b/>
          <w:bCs/>
          <w:sz w:val="28"/>
          <w:szCs w:val="28"/>
          <w:highlight w:val="none"/>
        </w:rPr>
        <w:t xml:space="preserve">БЛОК-СХЕМА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pacing w:line="238" w:lineRule="exact"/>
        <w:rPr>
          <w:b/>
          <w:bCs/>
          <w:highlight w:val="none"/>
        </w:rPr>
        <w:outlineLvl w:val="0"/>
      </w:pPr>
      <w:r>
        <w:rPr>
          <w:b/>
          <w:bCs/>
          <w:sz w:val="28"/>
          <w:szCs w:val="28"/>
          <w:highlight w:val="none"/>
        </w:rPr>
        <w:t xml:space="preserve">прохождения административных процедур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  <w:outlineLvl w:val="0"/>
      </w:pPr>
      <w:r>
        <w:rPr>
          <w:b/>
          <w:bCs/>
          <w:sz w:val="28"/>
          <w:szCs w:val="28"/>
          <w:highlight w:val="none"/>
        </w:rPr>
        <w:t xml:space="preserve">при пр</w:t>
      </w:r>
      <w:r>
        <w:rPr>
          <w:b/>
          <w:bCs/>
          <w:sz w:val="28"/>
          <w:szCs w:val="28"/>
          <w:highlight w:val="none"/>
        </w:rPr>
        <w:t xml:space="preserve">едоставлении муниципальной услуги «</w:t>
      </w:r>
      <w:r>
        <w:rPr>
          <w:b/>
          <w:bCs/>
          <w:sz w:val="28"/>
          <w:szCs w:val="28"/>
          <w:highlight w:val="none"/>
        </w:rPr>
        <w:t xml:space="preserve">Напр</w:t>
      </w:r>
      <w:r>
        <w:rPr>
          <w:b/>
          <w:bCs/>
          <w:sz w:val="28"/>
          <w:szCs w:val="28"/>
          <w:highlight w:val="none"/>
        </w:rPr>
        <w:t xml:space="preserve">авление уведомления </w:t>
        <w:br/>
        <w:t xml:space="preserve">о соответствии указанных в уведомлении о планируемых строительстве </w:t>
        <w:br/>
        <w:t xml:space="preserve">или реконструкции параметров объекта индивидуального жилищного </w:t>
        <w:br/>
        <w:t xml:space="preserve">строительства или садового дома установленным параметрам </w:t>
        <w:br/>
        <w:t xml:space="preserve">и допустимости размещения объекта индивидуаль</w:t>
      </w:r>
      <w:r>
        <w:rPr>
          <w:b/>
          <w:bCs/>
          <w:sz w:val="28"/>
          <w:szCs w:val="28"/>
          <w:highlight w:val="none"/>
        </w:rPr>
        <w:t xml:space="preserve">ного жилищного </w:t>
        <w:br/>
        <w:t xml:space="preserve">строительства или садового дома на земельном участке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116840</wp:posOffset>
                </wp:positionV>
                <wp:extent cx="6420485" cy="508147"/>
                <wp:effectExtent l="4762" t="4762" r="4762" b="4762"/>
                <wp:wrapNone/>
                <wp:docPr id="3" name="Rectangle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4" cy="508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Прием, регистрация Уведомления с прилагаемыми к нему документами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– </w:t>
                              <w:br/>
                              <w:t xml:space="preserve">не более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1 рабочего дня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0;o:allowoverlap:true;o:allowincell:true;mso-position-horizontal-relative:text;margin-left:-1.80pt;mso-position-horizontal:absolute;mso-position-vertical-relative:text;margin-top:9.20pt;mso-position-vertical:absolute;width:505.55pt;height:40.01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 xml:space="preserve">Прием, регистрация Уведомления с прилагаемыми к нему документами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 xml:space="preserve"> – </w:t>
                        <w:br/>
                        <w:t xml:space="preserve">не более </w:t>
                      </w:r>
                      <w:r>
                        <w:rPr>
                          <w:sz w:val="28"/>
                          <w:szCs w:val="28"/>
                        </w:rPr>
                        <w:t xml:space="preserve">1 рабочего дня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3177880</wp:posOffset>
                </wp:positionH>
                <wp:positionV relativeFrom="paragraph">
                  <wp:posOffset>11629</wp:posOffset>
                </wp:positionV>
                <wp:extent cx="0" cy="178435"/>
                <wp:effectExtent l="76200" t="0" r="57150" b="50165"/>
                <wp:wrapNone/>
                <wp:docPr id="4" name="AutoShape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32" type="#_x0000_t32" style="position:absolute;z-index:251656192;o:allowoverlap:true;o:allowincell:true;mso-position-horizontal-relative:text;margin-left:250.23pt;mso-position-horizontal:absolute;mso-position-vertical-relative:text;margin-top:0.92pt;mso-position-vertical:absolute;width:0.00pt;height:14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81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43192</wp:posOffset>
                </wp:positionV>
                <wp:extent cx="6420485" cy="2545285"/>
                <wp:effectExtent l="4762" t="4762" r="4762" b="4762"/>
                <wp:wrapNone/>
                <wp:docPr id="5" name="Text Box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4" cy="2545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right="-104"/>
                              <w:jc w:val="center"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Пров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ерка представленного Уведомления с прилагаемыми к нему документами: </w:t>
                              <w:br/>
                              <w:t xml:space="preserve">на наличие оснований для возврата Заявителю Уведомления с прилагаемыми </w:t>
                              <w:br/>
                              <w:t xml:space="preserve">к нему документами без рассмотрения с указанием причин возврата, подготовка </w:t>
                              <w:br/>
                              <w:t xml:space="preserve">и подписание ответа о возврате Уведомл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ения 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с прилагаемыми к нему </w:t>
                              <w:br/>
                              <w:t xml:space="preserve">документами без рассмотрения 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– 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не более 2 рабочих дней; на соответствие </w:t>
                              <w:br/>
                              <w:t xml:space="preserve">требованиям законодательства, подготовка и направление межведомственного </w:t>
                              <w:br/>
                              <w:t xml:space="preserve">запроса документов, необходимых в соответствии с нормативными правовыми </w:t>
                              <w:br/>
                              <w:t xml:space="preserve">актами для пред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ост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авления муниципальной услуги, которые находятся </w:t>
                              <w:br/>
                              <w:t xml:space="preserve">в распоряжении государственных органов, органов местного самоуправления </w:t>
                              <w:br/>
                              <w:t xml:space="preserve">и иных организаций и которые Заявитель вправе представить самостоятельно; подготовка проекта Уведомления о соответствии/несоответствии</w:t>
                            </w: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– не более 3 </w:t>
                              <w:br/>
                              <w:t xml:space="preserve">рабочих дней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59264;o:allowoverlap:true;o:allowincell:true;mso-position-horizontal-relative:text;margin-left:-1.80pt;mso-position-horizontal:absolute;mso-position-vertical-relative:text;margin-top:3.40pt;mso-position-vertical:absolute;width:505.55pt;height:200.42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ind w:right="-104"/>
                        <w:jc w:val="center"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Пров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ерка представленного Уведомления с прилагаемыми к нему документами: </w:t>
                        <w:br/>
                        <w:t xml:space="preserve">на наличие оснований для возврата Заявителю Уведомления с прилагаемыми </w:t>
                        <w:br/>
                        <w:t xml:space="preserve">к нему документами без рассмотрения с указанием причин возврата, подготовка </w:t>
                        <w:br/>
                        <w:t xml:space="preserve">и подписание ответа о возврате Уведомл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ения 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с прилагаемыми к нему </w:t>
                        <w:br/>
                        <w:t xml:space="preserve">документами без рассмотрения 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– 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не более 2 рабочих дней; на соответствие </w:t>
                        <w:br/>
                        <w:t xml:space="preserve">требованиям законодательства, подготовка и направление межведомственного </w:t>
                        <w:br/>
                        <w:t xml:space="preserve">запроса документов, необходимых в соответствии с нормативными правовыми </w:t>
                        <w:br/>
                        <w:t xml:space="preserve">актами для пред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ост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авления муниципальной услуги, которые находятся </w:t>
                        <w:br/>
                        <w:t xml:space="preserve">в распоряжении государственных органов, органов местного самоуправления </w:t>
                        <w:br/>
                        <w:t xml:space="preserve">и иных организаций и которые Заявитель вправе представить самостоятельно; подготовка проекта Уведомления о соответствии/несоответствии</w:t>
                      </w:r>
                      <w:r>
                        <w:rPr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– не более 3 </w:t>
                        <w:br/>
                        <w:t xml:space="preserve">рабочих дней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3177880</wp:posOffset>
                </wp:positionH>
                <wp:positionV relativeFrom="paragraph">
                  <wp:posOffset>135045</wp:posOffset>
                </wp:positionV>
                <wp:extent cx="0" cy="178435"/>
                <wp:effectExtent l="76200" t="0" r="57150" b="50165"/>
                <wp:wrapNone/>
                <wp:docPr id="6" name="AutoShape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32" type="#_x0000_t32" style="position:absolute;z-index:251664384;o:allowoverlap:true;o:allowincell:true;mso-position-horizontal-relative:text;margin-left:250.23pt;mso-position-horizontal:absolute;mso-position-vertical-relative:text;margin-top:10.63pt;mso-position-vertical:absolute;width:0.00pt;height:14.05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192865</wp:posOffset>
                </wp:positionV>
                <wp:extent cx="6420485" cy="533400"/>
                <wp:effectExtent l="4762" t="4762" r="4762" b="4762"/>
                <wp:wrapNone/>
                <wp:docPr id="7" name="Text Box 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20484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12"/>
                              <w:ind w:left="0"/>
                              <w:jc w:val="center"/>
                              <w:spacing w:after="0" w:line="240" w:lineRule="auto"/>
                              <w:tabs>
                                <w:tab w:val="left" w:pos="284" w:leader="none"/>
                              </w:tabs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Подписание Уведомления о соответствии/несоответствии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812"/>
                              <w:ind w:left="0"/>
                              <w:jc w:val="center"/>
                              <w:spacing w:after="0" w:line="240" w:lineRule="auto"/>
                              <w:tabs>
                                <w:tab w:val="left" w:pos="284" w:leader="none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sz w:val="28"/>
                                <w:szCs w:val="28"/>
                                <w:highlight w:val="none"/>
                              </w:rPr>
                              <w:t xml:space="preserve">не более 1 рабочего дня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663360;o:allowoverlap:true;o:allowincell:true;mso-position-horizontal-relative:text;margin-left:-1.80pt;mso-position-horizontal:absolute;mso-position-vertical-relative:text;margin-top:15.19pt;mso-position-vertical:absolute;width:505.55pt;height:42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812"/>
                        <w:ind w:left="0"/>
                        <w:jc w:val="center"/>
                        <w:spacing w:after="0" w:line="240" w:lineRule="auto"/>
                        <w:tabs>
                          <w:tab w:val="left" w:pos="284" w:leader="none"/>
                        </w:tabs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</w:rPr>
                        <w:t xml:space="preserve">Подписание Уведомления о соответствии/несоответствии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 – </w:t>
                      </w: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Times New Roman" w:hAnsi="Times New Roman"/>
                          <w:iCs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812"/>
                        <w:ind w:left="0"/>
                        <w:jc w:val="center"/>
                        <w:spacing w:after="0" w:line="240" w:lineRule="auto"/>
                        <w:tabs>
                          <w:tab w:val="left" w:pos="284" w:leader="none"/>
                        </w:tabs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Cs/>
                          <w:sz w:val="28"/>
                          <w:szCs w:val="28"/>
                          <w:highlight w:val="none"/>
                        </w:rPr>
                        <w:t xml:space="preserve">не более 1 рабочего дня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3187382</wp:posOffset>
                </wp:positionH>
                <wp:positionV relativeFrom="paragraph">
                  <wp:posOffset>112906</wp:posOffset>
                </wp:positionV>
                <wp:extent cx="0" cy="178435"/>
                <wp:effectExtent l="0" t="0" r="0" b="0"/>
                <wp:wrapNone/>
                <wp:docPr id="8" name="AutoShape 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0" cy="1784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32" type="#_x0000_t32" style="position:absolute;z-index:251669504;o:allowoverlap:true;o:allowincell:true;mso-position-horizontal-relative:text;margin-left:250.97pt;mso-position-horizontal:absolute;mso-position-vertical-relative:text;margin-top:8.89pt;mso-position-vertical:absolute;width:0.00pt;height:14.05pt;mso-wrap-distance-left:9.00pt;mso-wrap-distance-top:0.00pt;mso-wrap-distance-right:9.00pt;mso-wrap-distance-bottom:0.00pt;rotation:0;visibility:visible;" filled="f" strokecolor="#000000" strokeweight="0.75pt"/>
            </w:pict>
          </mc:Fallback>
        </mc:AlternateConten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-29822</wp:posOffset>
                </wp:positionH>
                <wp:positionV relativeFrom="paragraph">
                  <wp:posOffset>199377</wp:posOffset>
                </wp:positionV>
                <wp:extent cx="6415405" cy="1132729"/>
                <wp:effectExtent l="4762" t="4762" r="4762" b="4762"/>
                <wp:wrapNone/>
                <wp:docPr id="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6415404" cy="1132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Направление Уведомления о соответствии/несоответствии, ответа о возврате Уведомления с прилагаемыми к нему документами без рассмотрения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 –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 не более 1 рабочего дня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  <w:t xml:space="preserve">, следующего за днем регистрации подписанного Уведомления </w:t>
                              <w:br/>
                              <w:t xml:space="preserve">о соответствии/несоответствии, ответа о возврате Уведомления с прилагаемыми </w:t>
                              <w:br/>
                              <w:t xml:space="preserve">к нему документами без рассмотрения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251672576;o:allowoverlap:true;o:allowincell:true;mso-position-horizontal-relative:text;margin-left:-2.35pt;mso-position-horizontal:absolute;mso-position-vertical-relative:text;margin-top:15.70pt;mso-position-vertical:absolute;width:505.15pt;height:89.19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Направление Уведомления о соответствии/несоответствии, ответа о возврате Уведомления с прилагаемыми к нему документами без рассмотрения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 –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 не более 1 рабочего дня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  <w:t xml:space="preserve">, следующего за днем регистрации подписанного Уведомления </w:t>
                        <w:br/>
                        <w:t xml:space="preserve">о соответствии/несоответствии, ответа о возврате Уведомления с прилагаемыми </w:t>
                        <w:br/>
                        <w:t xml:space="preserve">к нему документами без рассмотрения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11"/>
      <w:headerReference w:type="first" r:id="rId12"/>
      <w:footerReference w:type="default" r:id="rId14"/>
      <w:footnotePr/>
      <w:endnotePr/>
      <w:type w:val="nextPage"/>
      <w:pgSz w:w="11905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  <w:p>
    <w:pPr>
      <w:pStyle w:val="97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  <w:keepLines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</w:instrText>
    </w:r>
    <w:r>
      <w:rPr>
        <w:sz w:val="28"/>
        <w:szCs w:val="28"/>
      </w:rPr>
      <w:instrText xml:space="preserve">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/>
    <w:r/>
  </w:p>
  <w:p>
    <w:pPr>
      <w:pStyle w:val="97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jc w:val="center"/>
      <w:keepLines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</w:instrText>
    </w:r>
    <w:r>
      <w:rPr>
        <w:sz w:val="28"/>
        <w:szCs w:val="28"/>
      </w:rPr>
      <w:instrText xml:space="preserve">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2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</w:pPr>
    <w:r/>
    <w:r/>
  </w:p>
  <w:p>
    <w:pPr>
      <w:pStyle w:val="9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 w:default="1">
    <w:name w:val="Normal"/>
    <w:qFormat/>
    <w:rPr>
      <w:lang w:eastAsia="ru-RU"/>
    </w:rPr>
  </w:style>
  <w:style w:type="paragraph" w:styleId="759">
    <w:name w:val="Heading 1"/>
    <w:basedOn w:val="758"/>
    <w:next w:val="758"/>
    <w:link w:val="106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60">
    <w:name w:val="Heading 2"/>
    <w:basedOn w:val="758"/>
    <w:next w:val="758"/>
    <w:link w:val="105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61">
    <w:name w:val="Heading 3"/>
    <w:basedOn w:val="758"/>
    <w:next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2">
    <w:name w:val="Heading 4"/>
    <w:basedOn w:val="758"/>
    <w:next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758"/>
    <w:next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758"/>
    <w:next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758"/>
    <w:next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758"/>
    <w:next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758"/>
    <w:next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</w:style>
  <w:style w:type="table" w:styleId="7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0" w:default="1">
    <w:name w:val="No List"/>
    <w:uiPriority w:val="99"/>
    <w:semiHidden/>
    <w:unhideWhenUsed/>
  </w:style>
  <w:style w:type="table" w:styleId="771">
    <w:name w:val="Plain Table 1"/>
    <w:basedOn w:val="7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5 Dark"/>
    <w:basedOn w:val="7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>
    <w:name w:val="Grid Table 7 Colorful"/>
    <w:basedOn w:val="7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7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7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>
    <w:name w:val="List Table 6 Colorful"/>
    <w:basedOn w:val="7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>
    <w:name w:val="List Table 7 Colorful"/>
    <w:basedOn w:val="7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0" w:customStyle="1">
    <w:name w:val="Title Char"/>
    <w:basedOn w:val="768"/>
    <w:uiPriority w:val="10"/>
    <w:rPr>
      <w:sz w:val="48"/>
      <w:szCs w:val="48"/>
    </w:rPr>
  </w:style>
  <w:style w:type="character" w:styleId="791" w:customStyle="1">
    <w:name w:val="Subtitle Char"/>
    <w:basedOn w:val="768"/>
    <w:uiPriority w:val="11"/>
    <w:rPr>
      <w:sz w:val="24"/>
      <w:szCs w:val="24"/>
    </w:rPr>
  </w:style>
  <w:style w:type="character" w:styleId="792" w:customStyle="1">
    <w:name w:val="Quote Char"/>
    <w:uiPriority w:val="29"/>
    <w:rPr>
      <w:i/>
    </w:rPr>
  </w:style>
  <w:style w:type="character" w:styleId="793" w:customStyle="1">
    <w:name w:val="Intense Quote Char"/>
    <w:uiPriority w:val="30"/>
    <w:rPr>
      <w:i/>
    </w:rPr>
  </w:style>
  <w:style w:type="paragraph" w:styleId="794" w:customStyle="1">
    <w:name w:val="Заголовок 11"/>
    <w:basedOn w:val="758"/>
    <w:next w:val="758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5" w:customStyle="1">
    <w:name w:val="Heading 1 Char"/>
    <w:link w:val="794"/>
    <w:uiPriority w:val="9"/>
    <w:rPr>
      <w:rFonts w:ascii="Arial" w:hAnsi="Arial" w:eastAsia="Arial" w:cs="Arial"/>
      <w:sz w:val="40"/>
      <w:szCs w:val="40"/>
    </w:rPr>
  </w:style>
  <w:style w:type="paragraph" w:styleId="796" w:customStyle="1">
    <w:name w:val="Заголовок 21"/>
    <w:basedOn w:val="758"/>
    <w:next w:val="758"/>
    <w:link w:val="7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7" w:customStyle="1">
    <w:name w:val="Heading 2 Char"/>
    <w:link w:val="796"/>
    <w:uiPriority w:val="9"/>
    <w:rPr>
      <w:rFonts w:ascii="Arial" w:hAnsi="Arial" w:eastAsia="Arial" w:cs="Arial"/>
      <w:sz w:val="34"/>
    </w:rPr>
  </w:style>
  <w:style w:type="paragraph" w:styleId="798" w:customStyle="1">
    <w:name w:val="Заголовок 31"/>
    <w:basedOn w:val="758"/>
    <w:next w:val="758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9" w:customStyle="1">
    <w:name w:val="Heading 3 Char"/>
    <w:link w:val="798"/>
    <w:uiPriority w:val="9"/>
    <w:rPr>
      <w:rFonts w:ascii="Arial" w:hAnsi="Arial" w:eastAsia="Arial" w:cs="Arial"/>
      <w:sz w:val="30"/>
      <w:szCs w:val="30"/>
    </w:rPr>
  </w:style>
  <w:style w:type="paragraph" w:styleId="800" w:customStyle="1">
    <w:name w:val="Заголовок 41"/>
    <w:basedOn w:val="758"/>
    <w:next w:val="758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4 Char"/>
    <w:link w:val="800"/>
    <w:uiPriority w:val="9"/>
    <w:rPr>
      <w:rFonts w:ascii="Arial" w:hAnsi="Arial" w:eastAsia="Arial" w:cs="Arial"/>
      <w:b/>
      <w:bCs/>
      <w:sz w:val="26"/>
      <w:szCs w:val="26"/>
    </w:rPr>
  </w:style>
  <w:style w:type="paragraph" w:styleId="802" w:customStyle="1">
    <w:name w:val="Заголовок 51"/>
    <w:basedOn w:val="758"/>
    <w:next w:val="758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5 Char"/>
    <w:link w:val="802"/>
    <w:uiPriority w:val="9"/>
    <w:rPr>
      <w:rFonts w:ascii="Arial" w:hAnsi="Arial" w:eastAsia="Arial" w:cs="Arial"/>
      <w:b/>
      <w:bCs/>
      <w:sz w:val="24"/>
      <w:szCs w:val="24"/>
    </w:rPr>
  </w:style>
  <w:style w:type="paragraph" w:styleId="804" w:customStyle="1">
    <w:name w:val="Заголовок 61"/>
    <w:basedOn w:val="758"/>
    <w:next w:val="758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6 Char"/>
    <w:link w:val="804"/>
    <w:uiPriority w:val="9"/>
    <w:rPr>
      <w:rFonts w:ascii="Arial" w:hAnsi="Arial" w:eastAsia="Arial" w:cs="Arial"/>
      <w:b/>
      <w:bCs/>
      <w:sz w:val="22"/>
      <w:szCs w:val="22"/>
    </w:rPr>
  </w:style>
  <w:style w:type="paragraph" w:styleId="806" w:customStyle="1">
    <w:name w:val="Заголовок 71"/>
    <w:basedOn w:val="758"/>
    <w:next w:val="758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Heading 7 Char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8" w:customStyle="1">
    <w:name w:val="Заголовок 81"/>
    <w:basedOn w:val="758"/>
    <w:next w:val="758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8 Char"/>
    <w:link w:val="808"/>
    <w:uiPriority w:val="9"/>
    <w:rPr>
      <w:rFonts w:ascii="Arial" w:hAnsi="Arial" w:eastAsia="Arial" w:cs="Arial"/>
      <w:i/>
      <w:iCs/>
      <w:sz w:val="22"/>
      <w:szCs w:val="22"/>
    </w:rPr>
  </w:style>
  <w:style w:type="paragraph" w:styleId="810" w:customStyle="1">
    <w:name w:val="Заголовок 91"/>
    <w:basedOn w:val="758"/>
    <w:next w:val="758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 w:customStyle="1">
    <w:name w:val="Heading 9 Char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7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1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14">
    <w:name w:val="Title"/>
    <w:basedOn w:val="758"/>
    <w:next w:val="758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Название Знак"/>
    <w:link w:val="814"/>
    <w:uiPriority w:val="10"/>
    <w:rPr>
      <w:sz w:val="48"/>
      <w:szCs w:val="48"/>
    </w:rPr>
  </w:style>
  <w:style w:type="paragraph" w:styleId="816">
    <w:name w:val="Subtitle"/>
    <w:basedOn w:val="758"/>
    <w:next w:val="758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 w:customStyle="1">
    <w:name w:val="Подзаголовок Знак"/>
    <w:link w:val="816"/>
    <w:uiPriority w:val="11"/>
    <w:rPr>
      <w:sz w:val="24"/>
      <w:szCs w:val="24"/>
    </w:rPr>
  </w:style>
  <w:style w:type="paragraph" w:styleId="818">
    <w:name w:val="Quote"/>
    <w:basedOn w:val="758"/>
    <w:next w:val="758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58"/>
    <w:next w:val="758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paragraph" w:styleId="822" w:customStyle="1">
    <w:name w:val="Верхний колонтитул1"/>
    <w:basedOn w:val="758"/>
    <w:link w:val="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3" w:customStyle="1">
    <w:name w:val="Header Char"/>
    <w:link w:val="822"/>
    <w:uiPriority w:val="99"/>
  </w:style>
  <w:style w:type="paragraph" w:styleId="824" w:customStyle="1">
    <w:name w:val="Нижний колонтитул1"/>
    <w:basedOn w:val="758"/>
    <w:link w:val="8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5" w:customStyle="1">
    <w:name w:val="Footer Char"/>
    <w:uiPriority w:val="99"/>
  </w:style>
  <w:style w:type="paragraph" w:styleId="826" w:customStyle="1">
    <w:name w:val="Название объекта1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 w:customStyle="1">
    <w:name w:val="Caption Char"/>
    <w:link w:val="824"/>
    <w:uiPriority w:val="99"/>
  </w:style>
  <w:style w:type="table" w:styleId="828">
    <w:name w:val="Table Grid"/>
    <w:basedOn w:val="76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2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8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000ff"/>
      <w:u w:val="single"/>
    </w:rPr>
  </w:style>
  <w:style w:type="paragraph" w:styleId="955">
    <w:name w:val="footnote text"/>
    <w:basedOn w:val="758"/>
    <w:link w:val="1067"/>
  </w:style>
  <w:style w:type="character" w:styleId="956" w:customStyle="1">
    <w:name w:val="Footnote Text Char"/>
    <w:uiPriority w:val="99"/>
    <w:rPr>
      <w:sz w:val="18"/>
    </w:rPr>
  </w:style>
  <w:style w:type="character" w:styleId="957">
    <w:name w:val="footnote reference"/>
    <w:rPr>
      <w:vertAlign w:val="superscript"/>
    </w:rPr>
  </w:style>
  <w:style w:type="paragraph" w:styleId="958">
    <w:name w:val="endnote text"/>
    <w:basedOn w:val="758"/>
    <w:link w:val="1068"/>
  </w:style>
  <w:style w:type="character" w:styleId="959" w:customStyle="1">
    <w:name w:val="Endnote Text Char"/>
    <w:uiPriority w:val="99"/>
    <w:rPr>
      <w:sz w:val="20"/>
    </w:rPr>
  </w:style>
  <w:style w:type="character" w:styleId="960">
    <w:name w:val="endnote reference"/>
    <w:rPr>
      <w:vertAlign w:val="superscript"/>
    </w:rPr>
  </w:style>
  <w:style w:type="paragraph" w:styleId="961">
    <w:name w:val="toc 1"/>
    <w:basedOn w:val="758"/>
    <w:next w:val="758"/>
    <w:uiPriority w:val="39"/>
    <w:unhideWhenUsed/>
    <w:pPr>
      <w:spacing w:after="57"/>
    </w:pPr>
  </w:style>
  <w:style w:type="paragraph" w:styleId="962">
    <w:name w:val="toc 2"/>
    <w:basedOn w:val="758"/>
    <w:next w:val="758"/>
    <w:uiPriority w:val="39"/>
    <w:unhideWhenUsed/>
    <w:pPr>
      <w:ind w:left="283"/>
      <w:spacing w:after="57"/>
    </w:pPr>
  </w:style>
  <w:style w:type="paragraph" w:styleId="963">
    <w:name w:val="toc 3"/>
    <w:basedOn w:val="758"/>
    <w:next w:val="758"/>
    <w:uiPriority w:val="39"/>
    <w:unhideWhenUsed/>
    <w:pPr>
      <w:ind w:left="567"/>
      <w:spacing w:after="57"/>
    </w:pPr>
  </w:style>
  <w:style w:type="paragraph" w:styleId="964">
    <w:name w:val="toc 4"/>
    <w:basedOn w:val="758"/>
    <w:next w:val="758"/>
    <w:uiPriority w:val="39"/>
    <w:unhideWhenUsed/>
    <w:pPr>
      <w:ind w:left="850"/>
      <w:spacing w:after="57"/>
    </w:pPr>
  </w:style>
  <w:style w:type="paragraph" w:styleId="965">
    <w:name w:val="toc 5"/>
    <w:basedOn w:val="758"/>
    <w:next w:val="758"/>
    <w:uiPriority w:val="39"/>
    <w:unhideWhenUsed/>
    <w:pPr>
      <w:ind w:left="1134"/>
      <w:spacing w:after="57"/>
    </w:pPr>
  </w:style>
  <w:style w:type="paragraph" w:styleId="966">
    <w:name w:val="toc 6"/>
    <w:basedOn w:val="758"/>
    <w:next w:val="758"/>
    <w:uiPriority w:val="39"/>
    <w:unhideWhenUsed/>
    <w:pPr>
      <w:ind w:left="1417"/>
      <w:spacing w:after="57"/>
    </w:pPr>
  </w:style>
  <w:style w:type="paragraph" w:styleId="967">
    <w:name w:val="toc 7"/>
    <w:basedOn w:val="758"/>
    <w:next w:val="758"/>
    <w:uiPriority w:val="39"/>
    <w:unhideWhenUsed/>
    <w:pPr>
      <w:ind w:left="1701"/>
      <w:spacing w:after="57"/>
    </w:pPr>
  </w:style>
  <w:style w:type="paragraph" w:styleId="968">
    <w:name w:val="toc 8"/>
    <w:basedOn w:val="758"/>
    <w:next w:val="758"/>
    <w:uiPriority w:val="39"/>
    <w:unhideWhenUsed/>
    <w:pPr>
      <w:ind w:left="1984"/>
      <w:spacing w:after="57"/>
    </w:pPr>
  </w:style>
  <w:style w:type="paragraph" w:styleId="969">
    <w:name w:val="toc 9"/>
    <w:basedOn w:val="758"/>
    <w:next w:val="758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58"/>
    <w:next w:val="758"/>
    <w:uiPriority w:val="99"/>
    <w:unhideWhenUsed/>
  </w:style>
  <w:style w:type="paragraph" w:styleId="972">
    <w:name w:val="Caption"/>
    <w:basedOn w:val="758"/>
    <w:next w:val="758"/>
    <w:link w:val="8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73">
    <w:name w:val="Body Text"/>
    <w:basedOn w:val="758"/>
    <w:link w:val="999"/>
    <w:pPr>
      <w:ind w:right="3117"/>
    </w:pPr>
    <w:rPr>
      <w:rFonts w:ascii="Courier New" w:hAnsi="Courier New"/>
      <w:sz w:val="26"/>
      <w:lang w:val="en-US" w:eastAsia="en-US"/>
    </w:rPr>
  </w:style>
  <w:style w:type="paragraph" w:styleId="974">
    <w:name w:val="Body Text Indent"/>
    <w:basedOn w:val="758"/>
    <w:pPr>
      <w:ind w:right="-1"/>
      <w:jc w:val="both"/>
    </w:pPr>
    <w:rPr>
      <w:sz w:val="26"/>
    </w:rPr>
  </w:style>
  <w:style w:type="paragraph" w:styleId="975">
    <w:name w:val="Footer"/>
    <w:basedOn w:val="758"/>
    <w:link w:val="1056"/>
    <w:uiPriority w:val="99"/>
    <w:pPr>
      <w:tabs>
        <w:tab w:val="center" w:pos="4153" w:leader="none"/>
        <w:tab w:val="right" w:pos="8306" w:leader="none"/>
      </w:tabs>
    </w:pPr>
  </w:style>
  <w:style w:type="character" w:styleId="976">
    <w:name w:val="page number"/>
    <w:basedOn w:val="768"/>
  </w:style>
  <w:style w:type="paragraph" w:styleId="977">
    <w:name w:val="Header"/>
    <w:basedOn w:val="758"/>
    <w:link w:val="980"/>
    <w:uiPriority w:val="99"/>
    <w:pPr>
      <w:tabs>
        <w:tab w:val="center" w:pos="4153" w:leader="none"/>
        <w:tab w:val="right" w:pos="8306" w:leader="none"/>
      </w:tabs>
    </w:pPr>
  </w:style>
  <w:style w:type="paragraph" w:styleId="978">
    <w:name w:val="Balloon Text"/>
    <w:basedOn w:val="758"/>
    <w:link w:val="979"/>
    <w:uiPriority w:val="99"/>
    <w:rPr>
      <w:rFonts w:ascii="Segoe UI" w:hAnsi="Segoe UI"/>
      <w:sz w:val="18"/>
      <w:szCs w:val="18"/>
      <w:lang w:val="en-US" w:eastAsia="en-US"/>
    </w:rPr>
  </w:style>
  <w:style w:type="character" w:styleId="979" w:customStyle="1">
    <w:name w:val="Текст выноски Знак"/>
    <w:link w:val="978"/>
    <w:uiPriority w:val="99"/>
    <w:rPr>
      <w:rFonts w:ascii="Segoe UI" w:hAnsi="Segoe UI" w:cs="Segoe UI"/>
      <w:sz w:val="18"/>
      <w:szCs w:val="18"/>
    </w:rPr>
  </w:style>
  <w:style w:type="character" w:styleId="980" w:customStyle="1">
    <w:name w:val="Верхний колонтитул Знак"/>
    <w:link w:val="977"/>
    <w:uiPriority w:val="99"/>
  </w:style>
  <w:style w:type="numbering" w:styleId="981" w:customStyle="1">
    <w:name w:val="Нет списка1"/>
    <w:next w:val="770"/>
    <w:uiPriority w:val="99"/>
    <w:semiHidden/>
    <w:unhideWhenUsed/>
  </w:style>
  <w:style w:type="character" w:styleId="982">
    <w:name w:val="FollowedHyperlink"/>
    <w:uiPriority w:val="99"/>
    <w:unhideWhenUsed/>
    <w:rPr>
      <w:color w:val="800080"/>
      <w:u w:val="single"/>
    </w:rPr>
  </w:style>
  <w:style w:type="paragraph" w:styleId="983" w:customStyle="1">
    <w:name w:val="xl65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4" w:customStyle="1">
    <w:name w:val="xl6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5" w:customStyle="1">
    <w:name w:val="xl67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6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7" w:customStyle="1">
    <w:name w:val="xl69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0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9" w:customStyle="1">
    <w:name w:val="xl71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2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3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4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5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xl76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5" w:customStyle="1">
    <w:name w:val="xl77"/>
    <w:basedOn w:val="7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xl78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7" w:customStyle="1">
    <w:name w:val="xl79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8" w:customStyle="1">
    <w:name w:val="Форма"/>
    <w:rPr>
      <w:sz w:val="28"/>
      <w:szCs w:val="28"/>
      <w:lang w:eastAsia="ru-RU"/>
    </w:rPr>
  </w:style>
  <w:style w:type="character" w:styleId="999" w:customStyle="1">
    <w:name w:val="Основной текст Знак"/>
    <w:link w:val="973"/>
    <w:rPr>
      <w:rFonts w:ascii="Courier New" w:hAnsi="Courier New"/>
      <w:sz w:val="26"/>
    </w:rPr>
  </w:style>
  <w:style w:type="paragraph" w:styleId="1000" w:customStyle="1">
    <w:name w:val="ConsPlusNormal"/>
    <w:rPr>
      <w:sz w:val="28"/>
      <w:szCs w:val="28"/>
      <w:lang w:eastAsia="ru-RU"/>
    </w:rPr>
  </w:style>
  <w:style w:type="numbering" w:styleId="1001" w:customStyle="1">
    <w:name w:val="Нет списка11"/>
    <w:next w:val="770"/>
    <w:uiPriority w:val="99"/>
    <w:semiHidden/>
    <w:unhideWhenUsed/>
  </w:style>
  <w:style w:type="numbering" w:styleId="1002" w:customStyle="1">
    <w:name w:val="Нет списка111"/>
    <w:next w:val="770"/>
    <w:uiPriority w:val="99"/>
    <w:semiHidden/>
    <w:unhideWhenUsed/>
  </w:style>
  <w:style w:type="paragraph" w:styleId="1003" w:customStyle="1">
    <w:name w:val="font5"/>
    <w:basedOn w:val="7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04" w:customStyle="1">
    <w:name w:val="xl8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05" w:customStyle="1">
    <w:name w:val="xl81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6" w:customStyle="1">
    <w:name w:val="xl82"/>
    <w:basedOn w:val="7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7" w:customStyle="1">
    <w:name w:val="xl8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8" w:customStyle="1">
    <w:name w:val="xl8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9" w:customStyle="1">
    <w:name w:val="xl8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0" w:customStyle="1">
    <w:name w:val="xl8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1" w:customStyle="1">
    <w:name w:val="xl8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2" w:customStyle="1">
    <w:name w:val="xl88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3" w:customStyle="1">
    <w:name w:val="xl89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4" w:customStyle="1">
    <w:name w:val="xl90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5" w:customStyle="1">
    <w:name w:val="xl9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6" w:customStyle="1">
    <w:name w:val="xl9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17" w:customStyle="1">
    <w:name w:val="xl9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18" w:customStyle="1">
    <w:name w:val="xl94"/>
    <w:basedOn w:val="7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19" w:customStyle="1">
    <w:name w:val="xl9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0" w:customStyle="1">
    <w:name w:val="xl9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1" w:customStyle="1">
    <w:name w:val="xl9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22" w:customStyle="1">
    <w:name w:val="xl98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23" w:customStyle="1">
    <w:name w:val="xl99"/>
    <w:basedOn w:val="7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24" w:customStyle="1">
    <w:name w:val="xl10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01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02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8" w:customStyle="1">
    <w:name w:val="xl10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9" w:customStyle="1">
    <w:name w:val="xl10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06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31" w:customStyle="1">
    <w:name w:val="xl107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108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09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4" w:customStyle="1">
    <w:name w:val="xl110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5" w:customStyle="1">
    <w:name w:val="xl111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6" w:customStyle="1">
    <w:name w:val="xl112"/>
    <w:basedOn w:val="7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37" w:customStyle="1">
    <w:name w:val="xl113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8" w:customStyle="1">
    <w:name w:val="xl114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9" w:customStyle="1">
    <w:name w:val="xl115"/>
    <w:basedOn w:val="7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40" w:customStyle="1">
    <w:name w:val="xl116"/>
    <w:basedOn w:val="7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1" w:customStyle="1">
    <w:name w:val="xl117"/>
    <w:basedOn w:val="7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2" w:customStyle="1">
    <w:name w:val="xl118"/>
    <w:basedOn w:val="7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3" w:customStyle="1">
    <w:name w:val="xl119"/>
    <w:basedOn w:val="7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20"/>
    <w:basedOn w:val="7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5" w:customStyle="1">
    <w:name w:val="xl121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6" w:customStyle="1">
    <w:name w:val="xl122"/>
    <w:basedOn w:val="7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7" w:customStyle="1">
    <w:name w:val="xl123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8" w:customStyle="1">
    <w:name w:val="xl124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49" w:customStyle="1">
    <w:name w:val="xl125"/>
    <w:basedOn w:val="7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50" w:customStyle="1">
    <w:name w:val="Нет списка2"/>
    <w:next w:val="770"/>
    <w:uiPriority w:val="99"/>
    <w:semiHidden/>
    <w:unhideWhenUsed/>
  </w:style>
  <w:style w:type="numbering" w:styleId="1051" w:customStyle="1">
    <w:name w:val="Нет списка3"/>
    <w:next w:val="770"/>
    <w:uiPriority w:val="99"/>
    <w:semiHidden/>
    <w:unhideWhenUsed/>
  </w:style>
  <w:style w:type="paragraph" w:styleId="1052" w:customStyle="1">
    <w:name w:val="font6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3" w:customStyle="1">
    <w:name w:val="font7"/>
    <w:basedOn w:val="7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54" w:customStyle="1">
    <w:name w:val="font8"/>
    <w:basedOn w:val="7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55" w:customStyle="1">
    <w:name w:val="Нет списка4"/>
    <w:next w:val="770"/>
    <w:uiPriority w:val="99"/>
    <w:semiHidden/>
    <w:unhideWhenUsed/>
  </w:style>
  <w:style w:type="character" w:styleId="1056" w:customStyle="1">
    <w:name w:val="Нижний колонтитул Знак"/>
    <w:link w:val="975"/>
    <w:uiPriority w:val="99"/>
  </w:style>
  <w:style w:type="paragraph" w:styleId="105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105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59" w:customStyle="1">
    <w:name w:val="Заголовок 2 Знак"/>
    <w:link w:val="760"/>
    <w:rPr>
      <w:sz w:val="24"/>
    </w:rPr>
  </w:style>
  <w:style w:type="character" w:styleId="1060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1061">
    <w:name w:val="annotation reference"/>
    <w:rPr>
      <w:sz w:val="16"/>
      <w:szCs w:val="16"/>
    </w:rPr>
  </w:style>
  <w:style w:type="paragraph" w:styleId="1062">
    <w:name w:val="annotation text"/>
    <w:basedOn w:val="758"/>
    <w:link w:val="1063"/>
  </w:style>
  <w:style w:type="character" w:styleId="1063" w:customStyle="1">
    <w:name w:val="Текст примечания Знак"/>
    <w:basedOn w:val="768"/>
    <w:link w:val="1062"/>
  </w:style>
  <w:style w:type="paragraph" w:styleId="1064">
    <w:name w:val="annotation subject"/>
    <w:basedOn w:val="1062"/>
    <w:next w:val="1062"/>
    <w:link w:val="1065"/>
    <w:rPr>
      <w:b/>
      <w:bCs/>
      <w:lang w:val="en-US" w:eastAsia="en-US"/>
    </w:rPr>
  </w:style>
  <w:style w:type="character" w:styleId="1065" w:customStyle="1">
    <w:name w:val="Тема примечания Знак"/>
    <w:link w:val="1064"/>
    <w:rPr>
      <w:b/>
      <w:bCs/>
      <w:lang w:val="en-US" w:eastAsia="en-US"/>
    </w:rPr>
  </w:style>
  <w:style w:type="character" w:styleId="1066" w:customStyle="1">
    <w:name w:val="Заголовок 1 Знак"/>
    <w:link w:val="759"/>
    <w:rPr>
      <w:sz w:val="24"/>
    </w:rPr>
  </w:style>
  <w:style w:type="character" w:styleId="1067" w:customStyle="1">
    <w:name w:val="Текст сноски Знак"/>
    <w:basedOn w:val="768"/>
    <w:link w:val="955"/>
  </w:style>
  <w:style w:type="character" w:styleId="1068" w:customStyle="1">
    <w:name w:val="Текст концевой сноски Знак"/>
    <w:basedOn w:val="768"/>
    <w:link w:val="958"/>
  </w:style>
  <w:style w:type="paragraph" w:styleId="1069">
    <w:name w:val="Normal (Web)"/>
    <w:basedOn w:val="75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70" w:customStyle="1">
    <w:name w:val="Гиперссылка1"/>
    <w:uiPriority w:val="99"/>
    <w:unhideWhenUsed/>
    <w:rPr>
      <w:color w:val="0000ff"/>
      <w:u w:val="single"/>
    </w:rPr>
  </w:style>
  <w:style w:type="paragraph" w:styleId="1071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72" w:customStyle="1">
    <w:name w:val="Заголовок 1"/>
    <w:link w:val="890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73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43</cp:revision>
  <dcterms:created xsi:type="dcterms:W3CDTF">2024-12-26T04:27:00Z</dcterms:created>
  <dcterms:modified xsi:type="dcterms:W3CDTF">2025-10-01T10:37:01Z</dcterms:modified>
  <cp:version>786432</cp:version>
</cp:coreProperties>
</file>