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752;o:allowoverlap:true;o:allowincell:true;mso-position-horizontal-relative:text;margin-left:129.00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0279168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6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-634</wp:posOffset>
                </wp:positionV>
                <wp:extent cx="6285865" cy="111506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15060"/>
                          <a:chOff x="0" y="0"/>
                          <a:chExt cx="62858" cy="111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031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063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02790656;o:allowoverlap:true;o:allowincell:true;mso-position-horizontal-relative:text;margin-left:0.60pt;mso-position-horizontal:absolute;mso-position-vertical-relative:text;margin-top:-0.05pt;mso-position-vertical:absolute;width:494.95pt;height:87.80pt;mso-wrap-distance-left:9.00pt;mso-wrap-distance-top:0.00pt;mso-wrap-distance-right:9.00pt;mso-wrap-distance-bottom:0.00pt;" coordorigin="0,0" coordsize="628,111">
                <v:shape id="shape 3" o:spid="_x0000_s3" o:spt="202" type="#_x0000_t202" style="position:absolute;left:0;top:0;width:628;height:111;visibility:visible;" fillcolor="#FFFFFF" stroked="f">
                  <v:textbox inset="0,0,0,0">
                    <w:txbxContent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;top:80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;top:80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spacing w:line="240" w:lineRule="exact"/>
        <w:rPr>
          <w:b/>
        </w:rPr>
      </w:pPr>
      <w:r/>
      <w:bookmarkStart w:id="0" w:name="_Hlk21852922"/>
      <w:r>
        <w:rPr>
          <w:b/>
        </w:rPr>
        <w:t xml:space="preserve">Об утверждении размера </w:t>
      </w:r>
      <w:r>
        <w:rPr>
          <w:b/>
        </w:rPr>
        <w:br w:type="textWrapping" w:clear="all"/>
        <w:t xml:space="preserve">нормативных затрат на выполнение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муниципальной работы «Обеспечение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доступа к объектам спорта» на 2026 год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и плановый период 2027 и 2028 годов,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значения отраслевого корректирующего </w:t>
      </w:r>
      <w:r>
        <w:rPr>
          <w:b/>
        </w:rPr>
        <w:br w:type="textWrapping" w:clear="all"/>
        <w:t xml:space="preserve">коэффициента, размера нормативных </w:t>
      </w:r>
      <w:r>
        <w:rPr>
          <w:b/>
        </w:rPr>
        <w:br w:type="textWrapping" w:clear="all"/>
        <w:t xml:space="preserve">затрат на содержание муниципального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имущества на 2026 год и плановый период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2027 и 2028 годов, значений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натуральных норм, необходимых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для определения базовых нормативов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затрат на выполнение муниципальной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работы «Обеспечение доступа </w:t>
      </w:r>
      <w:r>
        <w:rPr>
          <w:b/>
        </w:rPr>
        <w:br w:type="textWrapping" w:clear="all"/>
        <w:t xml:space="preserve">к объектам спорта</w:t>
      </w:r>
      <w:bookmarkEnd w:id="0"/>
      <w:r>
        <w:rPr>
          <w:b/>
        </w:rPr>
        <w:t xml:space="preserve">» 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</w:t>
      </w:r>
      <w:r>
        <w:rPr>
          <w:rFonts w:ascii="Times New Roman" w:hAnsi="Times New Roman" w:cs="Times New Roman"/>
          <w:sz w:val="28"/>
          <w:szCs w:val="28"/>
        </w:rPr>
        <w:t xml:space="preserve">едеральным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города Перми, постановлениями администрации города Перми от 30 ноября 2007 г. </w:t>
        <w:br/>
      </w:r>
      <w:hyperlink r:id="rId12" w:tooltip="consultantplus://offline/ref=C8BA953C41A5EEDEA37888C922C653ACFE87C5BF800B943311DB310B5DEEFB4C26L2I" w:history="1">
        <w:r>
          <w:rPr>
            <w:rFonts w:ascii="Times New Roman" w:hAnsi="Times New Roman" w:cs="Times New Roman"/>
            <w:sz w:val="28"/>
            <w:szCs w:val="28"/>
          </w:rPr>
          <w:t xml:space="preserve">№ 502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Порядке формирования, размещения, финансового обеспечения </w:t>
        <w:br/>
        <w:t xml:space="preserve">и контроля выполнения муниципального задания на оказание муниципальных услуг (выполнение работ)», от 18 октября 2017 г. № 850 «Об утверждении </w:t>
      </w:r>
      <w:hyperlink w:tooltip="#P31" w:anchor="P31" w:history="1">
        <w:r>
          <w:rPr>
            <w:rFonts w:ascii="Times New Roman" w:hAnsi="Times New Roman" w:cs="Times New Roman"/>
            <w:sz w:val="28"/>
            <w:szCs w:val="28"/>
          </w:rPr>
          <w:t xml:space="preserve">Методики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расчета нормативных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ind w:firstLine="720"/>
        <w:jc w:val="both"/>
      </w:pPr>
      <w:r>
        <w:t xml:space="preserve">1. Утвердить прилагаемые:</w:t>
      </w:r>
      <w:r/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размер нормативных затрат на выполнение муниципальной работы «Обеспечение доступа к объектам спорта» на 2026 год и плановый период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2027 и 2028 годов;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значение отраслевого корректирующего коэффициента;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размер нормативных затрат на содержание муниципального имущества на 2026 год и плановый период 2027 и 2028 годов;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значения натуральных норм, необходимых для определения базовых нормативов затрат на выполнение муниципальной работы «Обеспечение доступа к объектам спорта».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03.10.2025 № 701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выполнение муниципальной работы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«Обеспечение доступа к объектам спорта» на 2026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плановый период 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3"/>
        <w:gridCol w:w="15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затрат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3"/>
        <w:gridCol w:w="156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1 850,10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657,18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101,52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</w:t>
            </w:r>
            <w:r>
              <w:rPr>
                <w:sz w:val="24"/>
                <w:szCs w:val="24"/>
              </w:rPr>
              <w:br w:type="textWrapping" w:clear="all"/>
              <w:t xml:space="preserve">в части имущества, используемого в процессе выполнения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439,04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348,62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1 192,92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456,83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</w:t>
            </w:r>
            <w:r>
              <w:rPr>
                <w:sz w:val="24"/>
                <w:szCs w:val="24"/>
              </w:rPr>
              <w:br w:type="textWrapping" w:clear="all"/>
              <w:t xml:space="preserve">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корректирующего коэффициента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2 838,31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1 882,49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663,07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107,41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</w:t>
            </w:r>
            <w:r>
              <w:rPr>
                <w:sz w:val="24"/>
                <w:szCs w:val="24"/>
              </w:rPr>
              <w:br w:type="textWrapping" w:clear="all"/>
              <w:t xml:space="preserve">в части имущества, используемого в процессе выполнения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439,04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348,62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1 219,42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</w:t>
            </w:r>
            <w:r>
              <w:rPr>
                <w:sz w:val="24"/>
                <w:szCs w:val="24"/>
              </w:rPr>
              <w:br w:type="textWrapping" w:clear="all"/>
              <w:t xml:space="preserve">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корректирующего коэффициента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2 888,00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1 882,49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663,07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107,41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</w:t>
            </w:r>
            <w:r>
              <w:rPr>
                <w:sz w:val="24"/>
                <w:szCs w:val="24"/>
              </w:rPr>
              <w:br w:type="textWrapping" w:clear="all"/>
              <w:t xml:space="preserve">в части имущества, используемого в процессе выполнения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439,04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348,62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1 219,42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имущества, </w:t>
            </w:r>
            <w:r>
              <w:rPr>
                <w:sz w:val="24"/>
                <w:szCs w:val="24"/>
              </w:rPr>
              <w:br w:type="textWrapping" w:clear="all"/>
              <w:t xml:space="preserve">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6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с учетом отраслевого корректирующего коэффициента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2 888,00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rPr>
          <w:sz w:val="28"/>
          <w:szCs w:val="28"/>
        </w:rPr>
        <w:sectPr>
          <w:headerReference w:type="even" r:id="rId10"/>
          <w:footnotePr/>
          <w:endnotePr/>
          <w:type w:val="nextPage"/>
          <w:pgSz w:w="11900" w:h="16820" w:orient="portrait"/>
          <w:pgMar w:top="1134" w:right="567" w:bottom="1134" w:left="1418" w:header="391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42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03.10.2025 № 701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отраслевого корректирующего коэффициента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52"/>
        <w:gridCol w:w="2106"/>
        <w:gridCol w:w="3524"/>
        <w:gridCol w:w="2757"/>
      </w:tblGrid>
      <w:tr>
        <w:tblPrEx/>
        <w:trPr>
          <w:trHeight w:val="1012"/>
        </w:trPr>
        <w:tc>
          <w:tcPr>
            <w:tcBorders>
              <w:right w:val="single" w:color="000000" w:sz="4" w:space="0"/>
            </w:tcBorders>
            <w:tcW w:w="82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реестровой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049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отраслевой специфики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отраслевого корректирующего коэффициента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52"/>
        <w:gridCol w:w="2106"/>
        <w:gridCol w:w="3524"/>
        <w:gridCol w:w="2757"/>
      </w:tblGrid>
      <w:tr>
        <w:tblPrEx/>
        <w:trPr>
          <w:trHeight w:val="211"/>
        </w:trPr>
        <w:tc>
          <w:tcPr>
            <w:tcBorders>
              <w:right w:val="single" w:color="000000" w:sz="4" w:space="0"/>
            </w:tcBorders>
            <w:tcW w:w="82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049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5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3005630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04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доступа </w:t>
            </w:r>
            <w:r>
              <w:rPr>
                <w:sz w:val="28"/>
                <w:szCs w:val="28"/>
              </w:rPr>
              <w:br w:type="textWrapping" w:clear="all"/>
              <w:t xml:space="preserve">к объектам спорта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55" w:type="pct"/>
            <w:textDirection w:val="lrTb"/>
            <w:noWrap w:val="false"/>
          </w:tcPr>
          <w:p>
            <w:pPr>
              <w:pStyle w:val="896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плоскостное спортивное сооружение, включающее цементно-бетонную чашу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6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зрительные места, которые являются неразделимой частью имущественного комплекса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7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1,53414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91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28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28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28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28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03.10.2025 № 701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затрат на содержание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3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1985"/>
        <w:gridCol w:w="1701"/>
        <w:gridCol w:w="1706"/>
      </w:tblGrid>
      <w:tr>
        <w:tblPrEx/>
        <w:trPr/>
        <w:tc>
          <w:tcPr>
            <w:tcW w:w="45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расходов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53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5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13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1985"/>
        <w:gridCol w:w="1701"/>
        <w:gridCol w:w="1706"/>
      </w:tblGrid>
      <w:tr>
        <w:tblPrEx/>
        <w:trPr/>
        <w:tc>
          <w:tcPr>
            <w:tcW w:w="4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right w:w="108" w:type="dxa"/>
            </w:tcMar>
            <w:tcW w:w="45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 </w:t>
            </w:r>
            <w:r>
              <w:rPr>
                <w:sz w:val="28"/>
                <w:szCs w:val="28"/>
              </w:rPr>
              <w:br w:type="textWrapping" w:clear="all"/>
              <w:t xml:space="preserve">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3 583 848,47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3 583 848,47</w:t>
            </w:r>
            <w:r/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3 583 848,47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851" w:bottom="1134" w:left="1418" w:header="391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10206" w:hanging="71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0206" w:hanging="71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0206" w:hanging="71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10206" w:hanging="710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03.10.2025 № 701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0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0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натуральных норм, необходимых для определения базовых нормативов затрат 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  <w:t xml:space="preserve">на выполнение муниципальной работы «Обеспечение доступа к объектам спорта»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4"/>
        <w:ind w:firstLine="709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работы –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доступа к объектам спорта».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реестровой записи – 3005630.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содержания – обеспечение эксплуатационно-технического обслуживания объектов и помещений,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а также содержание указанных объектов и помещений, оборудования и прилегающей территории в надлежащем состоянии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работы – количество плоскостных сооружений.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0"/>
        <w:jc w:val="both"/>
        <w:spacing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494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198"/>
        <w:gridCol w:w="2679"/>
        <w:gridCol w:w="2261"/>
        <w:gridCol w:w="3662"/>
      </w:tblGrid>
      <w:tr>
        <w:tblPrEx/>
        <w:trPr/>
        <w:tc>
          <w:tcPr>
            <w:tcW w:w="2094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натуральной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натуральной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4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натуральной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значения натуральной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00"/>
        <w:gridCol w:w="2678"/>
        <w:gridCol w:w="2258"/>
        <w:gridCol w:w="3661"/>
      </w:tblGrid>
      <w:tr>
        <w:tblPrEx/>
        <w:trPr>
          <w:trHeight w:val="20"/>
          <w:tblHeader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физкультурно-спортивной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штатная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0,00050746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приобретение материальных запасов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для системы водоподготовки,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обеззараживания воды в бассейнах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2,00954024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понижения уровня рН в бассейнах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0,17761088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очистки воды бассейнов от взвешенных частиц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0,04440272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уничтожения водорослей в бассейне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предупреждения их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0,07611895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Иные затраты, непосредственно 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в части имущества, используемого в процессе выполнения муниципальной работы,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электроэнергия, непосредственно связанная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кВт/ч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72,37560000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restar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энергия, непосредственно связанная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0,05610000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водоотведение, непосредственно связанное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0,87450000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водоснабжение, непосредственно связанное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0,64350000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водоснабжение, непосредственно связанное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0,22110000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 Натуральные нормы, используемые при определении затрат на содержание объектов недвижимого имущества,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дезинсекция, дератизация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0,00016746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restar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0,00008373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исследование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0,00025373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 Натуральные нормы, используемые при определении затрат на содержание объектов особо ценного движимого имущества,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регламентно-профилактический ремонт системы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0,00008250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Натуральные нормы, используемые при определении базового норматива затрат на общехозяйственные нужды на выполнение муниципальной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электроэнергия,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кВт/ч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146,94440000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restar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энергия,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0,11390000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водоотведение, за исключением затрат, непосредственно связанных с выполнением муниципальной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1,77550000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1,30650000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0,44890000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дезинсекция, дератизация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0,00034000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restar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0,00017000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7" w:type="pct"/>
            <w:vMerge w:val="continue"/>
            <w:textDirection w:val="lrTb"/>
            <w:noWrap w:val="false"/>
          </w:tcPr>
          <w:p>
            <w:pPr>
              <w:pStyle w:val="894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регламентно-профилактический ремонт системы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0,00016750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Натуральные нормы, используемые при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елении затрат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095" w:type="pct"/>
            <w:textDirection w:val="lrTb"/>
            <w:noWrap w:val="false"/>
          </w:tcPr>
          <w:p>
            <w:pPr>
              <w:pStyle w:val="894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штатная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63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0,00228357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37" w:type="pct"/>
            <w:textDirection w:val="lrTb"/>
            <w:noWrap w:val="false"/>
          </w:tcPr>
          <w:p>
            <w:pPr>
              <w:pStyle w:val="894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20" w:h="11900" w:orient="landscape"/>
      <w:pgMar w:top="1134" w:right="567" w:bottom="1134" w:left="1418" w:header="391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spacing w:line="240" w:lineRule="exac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5"/>
    <w:link w:val="729"/>
    <w:uiPriority w:val="10"/>
    <w:rPr>
      <w:sz w:val="48"/>
      <w:szCs w:val="48"/>
    </w:rPr>
  </w:style>
  <w:style w:type="character" w:styleId="698">
    <w:name w:val="Subtitle Char"/>
    <w:basedOn w:val="715"/>
    <w:link w:val="731"/>
    <w:uiPriority w:val="11"/>
    <w:rPr>
      <w:sz w:val="24"/>
      <w:szCs w:val="24"/>
    </w:rPr>
  </w:style>
  <w:style w:type="character" w:styleId="699">
    <w:name w:val="Quote Char"/>
    <w:link w:val="733"/>
    <w:uiPriority w:val="29"/>
    <w:rPr>
      <w:i/>
    </w:rPr>
  </w:style>
  <w:style w:type="character" w:styleId="700">
    <w:name w:val="Intense Quote Char"/>
    <w:link w:val="735"/>
    <w:uiPriority w:val="30"/>
    <w:rPr>
      <w:i/>
    </w:rPr>
  </w:style>
  <w:style w:type="character" w:styleId="701">
    <w:name w:val="Footer Char"/>
    <w:basedOn w:val="715"/>
    <w:link w:val="739"/>
    <w:uiPriority w:val="99"/>
  </w:style>
  <w:style w:type="character" w:styleId="702">
    <w:name w:val="Caption Char"/>
    <w:basedOn w:val="715"/>
    <w:link w:val="741"/>
    <w:uiPriority w:val="35"/>
    <w:rPr>
      <w:b/>
      <w:bCs/>
      <w:color w:val="4f81bd" w:themeColor="accent1"/>
      <w:sz w:val="18"/>
      <w:szCs w:val="18"/>
    </w:rPr>
  </w:style>
  <w:style w:type="character" w:styleId="703">
    <w:name w:val="Footnote Text Char"/>
    <w:link w:val="870"/>
    <w:uiPriority w:val="99"/>
    <w:rPr>
      <w:sz w:val="18"/>
    </w:rPr>
  </w:style>
  <w:style w:type="character" w:styleId="704">
    <w:name w:val="Endnote Text Char"/>
    <w:link w:val="873"/>
    <w:uiPriority w:val="99"/>
    <w:rPr>
      <w:sz w:val="20"/>
    </w:rPr>
  </w:style>
  <w:style w:type="paragraph" w:styleId="705" w:default="1">
    <w:name w:val="Normal"/>
    <w:qFormat/>
  </w:style>
  <w:style w:type="paragraph" w:styleId="706">
    <w:name w:val="Heading 1"/>
    <w:basedOn w:val="705"/>
    <w:next w:val="705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707">
    <w:name w:val="Heading 2"/>
    <w:basedOn w:val="705"/>
    <w:next w:val="705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rPr>
      <w:lang w:eastAsia="zh-CN"/>
    </w:rPr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5"/>
    <w:link w:val="892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705"/>
    <w:link w:val="740"/>
    <w:pPr>
      <w:tabs>
        <w:tab w:val="center" w:pos="4153" w:leader="none"/>
        <w:tab w:val="right" w:pos="8306" w:leader="none"/>
      </w:tabs>
    </w:pPr>
  </w:style>
  <w:style w:type="character" w:styleId="740" w:customStyle="1">
    <w:name w:val="Нижний колонтитул Знак"/>
    <w:link w:val="739"/>
    <w:uiPriority w:val="99"/>
  </w:style>
  <w:style w:type="paragraph" w:styleId="741">
    <w:name w:val="Caption"/>
    <w:basedOn w:val="705"/>
    <w:next w:val="705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азвание объекта Знак"/>
    <w:link w:val="741"/>
    <w:uiPriority w:val="35"/>
    <w:rPr>
      <w:b/>
      <w:bCs/>
      <w:color w:val="4f81bd"/>
      <w:sz w:val="18"/>
      <w:szCs w:val="18"/>
    </w:rPr>
  </w:style>
  <w:style w:type="table" w:styleId="743">
    <w:name w:val="Table Grid"/>
    <w:basedOn w:val="716"/>
    <w:uiPriority w:val="59"/>
    <w:tblPr/>
  </w:style>
  <w:style w:type="table" w:styleId="74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9">
    <w:name w:val="Hyperlink"/>
    <w:uiPriority w:val="99"/>
    <w:unhideWhenUsed/>
    <w:rPr>
      <w:color w:val="0000ff"/>
      <w:u w:val="single"/>
    </w:rPr>
  </w:style>
  <w:style w:type="paragraph" w:styleId="870">
    <w:name w:val="footnote text"/>
    <w:basedOn w:val="705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705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705"/>
    <w:next w:val="705"/>
    <w:uiPriority w:val="39"/>
    <w:unhideWhenUsed/>
    <w:pPr>
      <w:spacing w:after="57"/>
    </w:pPr>
  </w:style>
  <w:style w:type="paragraph" w:styleId="877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8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9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0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1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2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3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4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  <w:rPr>
      <w:lang w:eastAsia="zh-CN"/>
    </w:rPr>
  </w:style>
  <w:style w:type="paragraph" w:styleId="886">
    <w:name w:val="table of figures"/>
    <w:basedOn w:val="705"/>
    <w:next w:val="705"/>
    <w:uiPriority w:val="99"/>
    <w:unhideWhenUsed/>
  </w:style>
  <w:style w:type="paragraph" w:styleId="887">
    <w:name w:val="Body Text"/>
    <w:basedOn w:val="705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705"/>
    <w:pPr>
      <w:ind w:right="-1"/>
      <w:jc w:val="both"/>
    </w:pPr>
    <w:rPr>
      <w:sz w:val="26"/>
    </w:rPr>
  </w:style>
  <w:style w:type="character" w:styleId="889">
    <w:name w:val="page number"/>
    <w:basedOn w:val="715"/>
  </w:style>
  <w:style w:type="paragraph" w:styleId="890">
    <w:name w:val="Balloon Text"/>
    <w:basedOn w:val="705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Верхний колонтитул Знак"/>
    <w:link w:val="737"/>
    <w:uiPriority w:val="99"/>
  </w:style>
  <w:style w:type="paragraph" w:styleId="893" w:customStyle="1">
    <w:name w:val="Форма"/>
    <w:rPr>
      <w:sz w:val="28"/>
      <w:szCs w:val="28"/>
    </w:rPr>
  </w:style>
  <w:style w:type="paragraph" w:styleId="89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896">
    <w:name w:val="Normal (Web)"/>
    <w:basedOn w:val="70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C8BA953C41A5EEDEA37888C922C653ACFE87C5BF800B943311DB310B5DEEFB4C26L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12</cp:revision>
  <dcterms:created xsi:type="dcterms:W3CDTF">2024-09-04T11:51:00Z</dcterms:created>
  <dcterms:modified xsi:type="dcterms:W3CDTF">2025-10-03T06:08:51Z</dcterms:modified>
  <cp:version>983040</cp:version>
</cp:coreProperties>
</file>