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ind w:right="0"/>
        <w:jc w:val="both"/>
        <w:widowControl w:val="off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9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06.10.2025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729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5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9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06.10.2025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729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ind w:right="0"/>
        <w:jc w:val="both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widowControl w:val="off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widowControl w:val="off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widowControl w:val="off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spacing w:line="240" w:lineRule="exact"/>
        <w:widowControl w:val="off"/>
      </w:pPr>
      <w:r/>
      <w:bookmarkStart w:id="0" w:name="_Hlk345729"/>
      <w:r/>
      <w:r/>
    </w:p>
    <w:p>
      <w:pPr>
        <w:pStyle w:val="922"/>
        <w:ind w:right="3967"/>
        <w:spacing w:line="240" w:lineRule="exact"/>
        <w:widowControl w:val="off"/>
        <w:rPr>
          <w:b/>
        </w:rPr>
      </w:pPr>
      <w:r>
        <w:rPr>
          <w:b/>
        </w:rPr>
        <w:t xml:space="preserve">Об утверждении размеров нормативных </w:t>
      </w:r>
      <w:r>
        <w:rPr>
          <w:b/>
        </w:rPr>
        <w:br w:type="textWrapping" w:clear="all"/>
        <w:t xml:space="preserve">затрат на оказание муниципальной </w:t>
      </w:r>
      <w:r>
        <w:rPr>
          <w:b/>
        </w:rPr>
        <w:br w:type="textWrapping" w:clear="all"/>
        <w:t xml:space="preserve">услуги </w:t>
      </w:r>
      <w:bookmarkStart w:id="1" w:name="_Hlk525226937"/>
      <w:r>
        <w:rPr>
          <w:b/>
        </w:rPr>
        <w:t xml:space="preserve">«Показ (организация показа) </w:t>
      </w:r>
      <w:r>
        <w:rPr>
          <w:b/>
        </w:rPr>
        <w:br w:type="textWrapping" w:clear="all"/>
        <w:t xml:space="preserve">спектаклей (театральных постановок)» </w:t>
      </w:r>
      <w:r>
        <w:rPr>
          <w:b/>
        </w:rPr>
        <w:br w:type="textWrapping" w:clear="all"/>
        <w:t xml:space="preserve">(с учетом всех форм)</w:t>
      </w:r>
      <w:bookmarkEnd w:id="0"/>
      <w:r>
        <w:rPr>
          <w:b/>
        </w:rPr>
        <w:t xml:space="preserve"> и нормативных </w:t>
      </w:r>
      <w:r>
        <w:rPr>
          <w:b/>
        </w:rPr>
        <w:br w:type="textWrapping" w:clear="all"/>
        <w:t xml:space="preserve">затрат на содержание муниципального </w:t>
      </w:r>
      <w:r>
        <w:rPr>
          <w:b/>
        </w:rPr>
        <w:br w:type="textWrapping" w:clear="all"/>
        <w:t xml:space="preserve">имущества на 2026 год и плановый период 2027-2028 годов, отраслевых корректирующих </w:t>
      </w:r>
      <w:r>
        <w:rPr>
          <w:b/>
        </w:rPr>
        <w:br w:type="textWrapping" w:clear="all"/>
        <w:t xml:space="preserve">коэффициентов к базовому нормативу </w:t>
      </w:r>
      <w:r>
        <w:rPr>
          <w:b/>
        </w:rPr>
        <w:br w:type="textWrapping" w:clear="all"/>
        <w:t xml:space="preserve">затрат на оказание муниципальной </w:t>
      </w:r>
      <w:r>
        <w:rPr>
          <w:b/>
        </w:rPr>
        <w:br w:type="textWrapping" w:clear="all"/>
        <w:t xml:space="preserve">услуги «Показ (организация показа) </w:t>
      </w:r>
      <w:r>
        <w:rPr>
          <w:b/>
        </w:rPr>
        <w:br w:type="textWrapping" w:clear="all"/>
        <w:t xml:space="preserve">спектаклей (театральных постановок)» </w:t>
      </w:r>
      <w:r>
        <w:rPr>
          <w:b/>
        </w:rPr>
        <w:br w:type="textWrapping" w:clear="all"/>
        <w:t xml:space="preserve">(с учетом всех форм), значений </w:t>
      </w:r>
      <w:r>
        <w:rPr>
          <w:b/>
        </w:rPr>
        <w:br w:type="textWrapping" w:clear="all"/>
        <w:t xml:space="preserve">натуральных норм, необходимых </w:t>
      </w:r>
      <w:r>
        <w:rPr>
          <w:b/>
        </w:rPr>
        <w:br w:type="textWrapping" w:clear="all"/>
        <w:t xml:space="preserve">для определения базовых нормативов </w:t>
      </w:r>
      <w:r>
        <w:rPr>
          <w:b/>
        </w:rPr>
        <w:br w:type="textWrapping" w:clear="all"/>
        <w:t xml:space="preserve">затрат на оказание муниципальной </w:t>
      </w:r>
      <w:r>
        <w:rPr>
          <w:b/>
        </w:rPr>
        <w:br w:type="textWrapping" w:clear="all"/>
        <w:t xml:space="preserve">услуги «Показ (организация показа) </w:t>
      </w:r>
      <w:r>
        <w:rPr>
          <w:b/>
        </w:rPr>
        <w:br w:type="textWrapping" w:clear="all"/>
        <w:t xml:space="preserve">спектаклей (театральных постановок)» </w:t>
      </w:r>
      <w:r>
        <w:rPr>
          <w:b/>
        </w:rPr>
        <w:br w:type="textWrapping" w:clear="all"/>
        <w:t xml:space="preserve">(с учетом всех форм) </w:t>
      </w:r>
      <w:r>
        <w:rPr>
          <w:b/>
        </w:rPr>
      </w:r>
    </w:p>
    <w:p>
      <w:pPr>
        <w:pStyle w:val="922"/>
        <w:spacing w:line="240" w:lineRule="exact"/>
        <w:widowControl w:val="off"/>
      </w:pPr>
      <w:r/>
      <w:r/>
    </w:p>
    <w:p>
      <w:pPr>
        <w:pStyle w:val="922"/>
        <w:spacing w:line="240" w:lineRule="exact"/>
        <w:widowControl w:val="off"/>
      </w:pPr>
      <w:r/>
      <w:r/>
    </w:p>
    <w:p>
      <w:pPr>
        <w:pStyle w:val="922"/>
        <w:spacing w:line="240" w:lineRule="exact"/>
        <w:widowControl w:val="off"/>
      </w:pPr>
      <w:r/>
      <w:bookmarkEnd w:id="1"/>
      <w:r/>
    </w:p>
    <w:p>
      <w:pPr>
        <w:ind w:firstLine="720"/>
        <w:jc w:val="both"/>
        <w:widowControl w:val="off"/>
        <w:rPr>
          <w:sz w:val="28"/>
          <w:szCs w:val="24"/>
        </w:rPr>
      </w:pPr>
      <w:r>
        <w:rPr>
          <w:sz w:val="28"/>
          <w:szCs w:val="24"/>
        </w:rPr>
        <w:t xml:space="preserve">В соответствии с Законом Российской Федерации от 09 октября 1992 г. </w:t>
      </w:r>
      <w:r>
        <w:rPr>
          <w:sz w:val="28"/>
          <w:szCs w:val="24"/>
        </w:rPr>
        <w:br w:type="textWrapping" w:clear="all"/>
        <w:t xml:space="preserve">№ 3612-1 «Основы законодательства Российской Федерации о культуре», Федеральным</w:t>
      </w:r>
      <w:r>
        <w:rPr>
          <w:sz w:val="28"/>
          <w:szCs w:val="24"/>
        </w:rPr>
        <w:t xml:space="preserve">и</w:t>
      </w:r>
      <w:r>
        <w:rPr>
          <w:sz w:val="28"/>
          <w:szCs w:val="24"/>
        </w:rPr>
        <w:t xml:space="preserve"> закон</w:t>
      </w:r>
      <w:r>
        <w:rPr>
          <w:sz w:val="28"/>
          <w:szCs w:val="24"/>
        </w:rPr>
        <w:t xml:space="preserve">ами</w:t>
      </w:r>
      <w:r>
        <w:rPr>
          <w:sz w:val="28"/>
          <w:szCs w:val="24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  <w:highlight w:val="white"/>
        </w:rPr>
        <w:t xml:space="preserve">от 20 марта   2025 г.  № 33-ФЗ «</w:t>
      </w:r>
      <w:r>
        <w:rPr>
          <w:color w:val="000000"/>
          <w:sz w:val="28"/>
          <w:szCs w:val="28"/>
        </w:rPr>
        <w:t xml:space="preserve">Об общих принципах организации местного самоуправления         в единой системе публичной власти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</w:t>
      </w:r>
      <w:r>
        <w:rPr>
          <w:sz w:val="28"/>
          <w:szCs w:val="24"/>
        </w:rPr>
        <w:t xml:space="preserve"> города Перми,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4"/>
        </w:rPr>
        <w:t xml:space="preserve">я</w:t>
      </w:r>
      <w:r>
        <w:rPr>
          <w:sz w:val="28"/>
          <w:szCs w:val="28"/>
        </w:rPr>
        <w:t xml:space="preserve">ми</w:t>
      </w:r>
      <w:r>
        <w:rPr>
          <w:sz w:val="28"/>
          <w:szCs w:val="24"/>
        </w:rPr>
        <w:t xml:space="preserve"> администрации города Перми от 30 ноября 2007 г. № 502 «О Порядке формирования, размещения, финансового обеспечения и контроля выполнения муниципального задания на оказание муниц</w:t>
      </w:r>
      <w:r>
        <w:rPr>
          <w:sz w:val="28"/>
          <w:szCs w:val="24"/>
        </w:rPr>
        <w:t xml:space="preserve">ипальных услуг (выполнение работ)», от 09 августа 2024 г. № 636 «Об утверждении Методики расчета нормативных затрат на оказание муниципальной услуги «Показ (организация показа) спектаклей (театральных постановок)» (с учетом всех форм) и нормативных затрат </w:t>
      </w:r>
      <w:r>
        <w:rPr>
          <w:sz w:val="28"/>
          <w:szCs w:val="24"/>
        </w:rPr>
        <w:t xml:space="preserve">                       </w:t>
      </w:r>
      <w:r>
        <w:rPr>
          <w:sz w:val="28"/>
          <w:szCs w:val="24"/>
        </w:rPr>
        <w:t xml:space="preserve">на содержание муниципального имущества» </w:t>
      </w:r>
      <w:r>
        <w:rPr>
          <w:sz w:val="28"/>
          <w:szCs w:val="24"/>
        </w:rPr>
      </w:r>
    </w:p>
    <w:p>
      <w:pPr>
        <w:jc w:val="both"/>
        <w:widowControl w:val="off"/>
        <w:rPr>
          <w:sz w:val="28"/>
          <w:szCs w:val="24"/>
        </w:rPr>
      </w:pPr>
      <w:r>
        <w:rPr>
          <w:sz w:val="28"/>
          <w:szCs w:val="24"/>
        </w:rPr>
        <w:t xml:space="preserve">администрация города Перми ПОСТАНОВЛЯЕТ:</w:t>
      </w:r>
      <w:r>
        <w:rPr>
          <w:sz w:val="28"/>
          <w:szCs w:val="24"/>
        </w:rPr>
      </w:r>
    </w:p>
    <w:p>
      <w:pPr>
        <w:ind w:firstLine="720"/>
        <w:jc w:val="both"/>
        <w:widowControl w:val="off"/>
        <w:rPr>
          <w:sz w:val="28"/>
          <w:szCs w:val="24"/>
        </w:rPr>
      </w:pPr>
      <w:r>
        <w:rPr>
          <w:sz w:val="28"/>
          <w:szCs w:val="24"/>
        </w:rPr>
        <w:t xml:space="preserve">1. Утвердить прилагаемые:</w:t>
      </w:r>
      <w:r>
        <w:rPr>
          <w:sz w:val="28"/>
          <w:szCs w:val="24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4"/>
        </w:rPr>
        <w:t xml:space="preserve">1.1. </w:t>
      </w:r>
      <w:r>
        <w:rPr>
          <w:sz w:val="28"/>
          <w:szCs w:val="28"/>
        </w:rPr>
        <w:t xml:space="preserve">размер</w:t>
      </w:r>
      <w:r>
        <w:rPr>
          <w:sz w:val="28"/>
          <w:szCs w:val="24"/>
        </w:rPr>
        <w:t xml:space="preserve">ы</w:t>
      </w:r>
      <w:r>
        <w:rPr>
          <w:sz w:val="28"/>
          <w:szCs w:val="28"/>
        </w:rPr>
        <w:t xml:space="preserve"> нормативных затрат на оказание </w:t>
      </w:r>
      <w:r>
        <w:rPr>
          <w:sz w:val="28"/>
          <w:szCs w:val="24"/>
        </w:rPr>
        <w:t xml:space="preserve">муниципальной услуги «Показ (организация показа) спектаклей (театральных постановок)» (с учетом всех форм) и нормативных затрат на содержание муниципального 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на 2026 год и плановый период 2027-2028 годов;</w:t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1.2. отраслевые корректирующие коэффициенты к базовому нормативу </w:t>
      </w:r>
      <w:r>
        <w:rPr>
          <w:sz w:val="28"/>
          <w:szCs w:val="28"/>
        </w:rPr>
        <w:t xml:space="preserve">затрат на оказание муниципальной услуги </w:t>
      </w:r>
      <w:r>
        <w:rPr>
          <w:sz w:val="28"/>
          <w:szCs w:val="24"/>
        </w:rPr>
        <w:t xml:space="preserve">«Показ (организация показа) спектаклей (театральных постановок)» (с учетом всех форм);</w:t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1.3. з</w:t>
      </w:r>
      <w:r>
        <w:rPr>
          <w:sz w:val="28"/>
          <w:szCs w:val="24"/>
        </w:rPr>
        <w:t xml:space="preserve">начения натуральных норм, необходимых для определения базовых нормативов затрат </w:t>
      </w:r>
      <w:r>
        <w:rPr>
          <w:sz w:val="28"/>
          <w:szCs w:val="28"/>
        </w:rPr>
        <w:t xml:space="preserve">на оказание </w:t>
      </w:r>
      <w:r>
        <w:rPr>
          <w:sz w:val="28"/>
          <w:szCs w:val="24"/>
        </w:rPr>
        <w:t xml:space="preserve">муниципальной услуги «Показ (организация показа) спектаклей (театральных постановок)» (с учетом всех форм).</w:t>
      </w:r>
      <w:r>
        <w:rPr>
          <w:sz w:val="28"/>
          <w:szCs w:val="28"/>
        </w:rPr>
      </w:r>
    </w:p>
    <w:p>
      <w:pPr>
        <w:ind w:firstLine="720"/>
        <w:jc w:val="both"/>
        <w:widowControl w:val="off"/>
        <w:rPr>
          <w:sz w:val="28"/>
          <w:szCs w:val="24"/>
        </w:rPr>
      </w:pPr>
      <w:r>
        <w:rPr>
          <w:sz w:val="28"/>
          <w:szCs w:val="24"/>
        </w:rPr>
        <w:t xml:space="preserve">2. Признать утратившими силу</w:t>
      </w:r>
      <w:bookmarkStart w:id="2" w:name="_Hlk491772580"/>
      <w:r>
        <w:rPr>
          <w:sz w:val="28"/>
          <w:szCs w:val="24"/>
        </w:rPr>
        <w:t xml:space="preserve">:</w:t>
      </w:r>
      <w:r>
        <w:rPr>
          <w:sz w:val="28"/>
          <w:szCs w:val="24"/>
        </w:rPr>
      </w:r>
    </w:p>
    <w:p>
      <w:pPr>
        <w:ind w:firstLine="720"/>
        <w:jc w:val="both"/>
        <w:widowControl w:val="off"/>
        <w:rPr>
          <w:sz w:val="28"/>
          <w:szCs w:val="24"/>
        </w:rPr>
      </w:pPr>
      <w:r>
        <w:rPr>
          <w:sz w:val="28"/>
          <w:szCs w:val="24"/>
        </w:rPr>
        <w:t xml:space="preserve">постановление администрации города Перми от 10 сентября 2024 г. № 752 «Об утверждении размеров нормативных затрат на оказание муниципальной услуги «Показ (организация показа) спектаклей (театральных постановок)» </w:t>
      </w:r>
      <w:r>
        <w:rPr>
          <w:sz w:val="28"/>
          <w:szCs w:val="24"/>
        </w:rPr>
        <w:br/>
        <w:t xml:space="preserve">(с учетом всех форм) и нормативных затрат на содержание муниципального имущества, уплату налогов на 2025 год и плановый период 2026-2027 годов, отраслевых корректирующих коэффициентов к базовому нормативу затрат </w:t>
      </w:r>
      <w:r>
        <w:rPr>
          <w:sz w:val="28"/>
          <w:szCs w:val="24"/>
        </w:rPr>
        <w:br/>
        <w:t xml:space="preserve">на оказание муниципальной услуги «Показ (организация показа) спек</w:t>
      </w:r>
      <w:r>
        <w:rPr>
          <w:sz w:val="28"/>
          <w:szCs w:val="24"/>
        </w:rPr>
        <w:t xml:space="preserve">таклей (театральных постановок)» (с учетом всех форм), значений натуральных норм, необходимых для определения базовых нормативов затрат на оказание муниципальной услуги «Показ (организация показа) спектаклей (театральных постановок)» (с учетом всех форм)»;</w:t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пункт 6 постановления администрации города Перми от 04 октября 2024 г. № 831 «О внесении изменений в отдельные правовые акты администрации города Перми в сфере культуры».</w:t>
      </w:r>
      <w:bookmarkEnd w:id="2"/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</w:t>
      </w:r>
      <w:r>
        <w:rPr>
          <w:sz w:val="28"/>
          <w:szCs w:val="24"/>
        </w:rPr>
        <w:t xml:space="preserve">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4"/>
        </w:rPr>
        <w:t xml:space="preserve">посредством официального опубликования</w:t>
      </w:r>
      <w:r>
        <w:rPr>
          <w:sz w:val="28"/>
          <w:szCs w:val="28"/>
        </w:rPr>
        <w:t xml:space="preserve">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города Перми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Э.О. Соснин</w:t>
      </w:r>
      <w:r>
        <w:rPr>
          <w:color w:val="000000"/>
          <w:sz w:val="28"/>
          <w:szCs w:val="28"/>
        </w:rPr>
      </w:r>
    </w:p>
    <w:p>
      <w:pPr>
        <w:ind w:left="4956" w:firstLine="708"/>
        <w:spacing w:line="240" w:lineRule="exact"/>
        <w:widowControl w:val="off"/>
        <w:rPr>
          <w:sz w:val="28"/>
          <w:szCs w:val="24"/>
        </w:rPr>
        <w:sectPr>
          <w:headerReference w:type="default" r:id="rId9"/>
          <w:footnotePr/>
          <w:endnotePr/>
          <w:type w:val="continuous"/>
          <w:pgSz w:w="11906" w:h="16838" w:orient="portrait"/>
          <w:pgMar w:top="1134" w:right="567" w:bottom="1134" w:left="1418" w:header="363" w:footer="680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4956" w:firstLine="708"/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  <w:t xml:space="preserve">УТВЕРЖДЕНЫ</w:t>
      </w:r>
      <w:r>
        <w:rPr>
          <w:sz w:val="28"/>
          <w:szCs w:val="24"/>
        </w:rPr>
      </w:r>
    </w:p>
    <w:p>
      <w:pPr>
        <w:ind w:left="5664"/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города Перми</w:t>
      </w:r>
      <w:r>
        <w:rPr>
          <w:sz w:val="28"/>
          <w:szCs w:val="24"/>
        </w:rPr>
      </w:r>
    </w:p>
    <w:p>
      <w:pPr>
        <w:ind w:left="5664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06.10.2025 № 729</w:t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widowControl w:val="off"/>
        <w:rPr>
          <w:b/>
          <w:sz w:val="28"/>
          <w:szCs w:val="24"/>
        </w:rPr>
      </w:pPr>
      <w:r/>
      <w:bookmarkStart w:id="3" w:name="sub_1000"/>
      <w:r>
        <w:rPr>
          <w:b/>
          <w:bCs/>
          <w:sz w:val="28"/>
          <w:szCs w:val="28"/>
        </w:rPr>
        <w:t xml:space="preserve">РАЗМЕРЫ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 w:type="textWrapping" w:clear="all"/>
      </w:r>
      <w:bookmarkEnd w:id="3"/>
      <w:r>
        <w:rPr>
          <w:b/>
          <w:sz w:val="28"/>
          <w:szCs w:val="28"/>
        </w:rPr>
        <w:t xml:space="preserve">нормативных затрат на оказание </w:t>
      </w:r>
      <w:r>
        <w:rPr>
          <w:b/>
          <w:sz w:val="28"/>
          <w:szCs w:val="24"/>
        </w:rPr>
        <w:t xml:space="preserve">муниципальной услуги «Показ </w:t>
      </w:r>
      <w:r>
        <w:rPr>
          <w:b/>
          <w:sz w:val="28"/>
          <w:szCs w:val="24"/>
        </w:rPr>
        <w:br w:type="textWrapping" w:clear="all"/>
        <w:t xml:space="preserve">(организация показа) спектаклей (театральных постановок)» </w:t>
      </w:r>
      <w:r>
        <w:rPr>
          <w:b/>
          <w:sz w:val="28"/>
          <w:szCs w:val="24"/>
        </w:rPr>
        <w:br w:type="textWrapping" w:clear="all"/>
        <w:t xml:space="preserve">(с учетом всех форм) и нормативных затрат на содержание </w:t>
      </w:r>
      <w:r>
        <w:rPr>
          <w:b/>
          <w:sz w:val="28"/>
          <w:szCs w:val="24"/>
        </w:rPr>
        <w:br w:type="textWrapping" w:clear="all"/>
        <w:t xml:space="preserve">муниципального имущества</w:t>
      </w:r>
      <w:r>
        <w:rPr>
          <w:b/>
          <w:sz w:val="28"/>
          <w:szCs w:val="28"/>
        </w:rPr>
        <w:t xml:space="preserve"> на 2026 год и </w:t>
      </w:r>
      <w:r>
        <w:rPr>
          <w:b/>
          <w:sz w:val="28"/>
          <w:szCs w:val="24"/>
        </w:rPr>
        <w:t xml:space="preserve">плановый период 2027-2028 годов</w:t>
      </w:r>
      <w:r>
        <w:rPr>
          <w:b/>
          <w:sz w:val="28"/>
          <w:szCs w:val="24"/>
        </w:rPr>
      </w:r>
    </w:p>
    <w:p>
      <w:pPr>
        <w:jc w:val="center"/>
        <w:widowControl w:val="off"/>
        <w:rPr>
          <w:b/>
          <w:sz w:val="28"/>
          <w:szCs w:val="24"/>
        </w:rPr>
      </w:pP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867"/>
        <w:gridCol w:w="2044"/>
      </w:tblGrid>
      <w:tr>
        <w:tblPrEx/>
        <w:trPr>
          <w:tblHeader/>
        </w:trPr>
        <w:tc>
          <w:tcPr>
            <w:tcW w:w="3969" w:type="pct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Направления затрат</w:t>
            </w:r>
            <w:r>
              <w:rPr>
                <w:sz w:val="28"/>
                <w:szCs w:val="28"/>
              </w:rPr>
            </w:r>
          </w:p>
        </w:tc>
        <w:tc>
          <w:tcPr>
            <w:tcW w:w="103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Размер, руб.</w:t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891"/>
        <w:gridCol w:w="2020"/>
      </w:tblGrid>
      <w:tr>
        <w:tblPrEx/>
        <w:trPr>
          <w:tblHeader/>
        </w:trPr>
        <w:tc>
          <w:tcPr>
            <w:tcW w:w="3981" w:type="pct"/>
            <w:textDirection w:val="lrTb"/>
            <w:noWrap w:val="false"/>
          </w:tcPr>
          <w:p>
            <w:pPr>
              <w:ind w:firstLine="72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166 000,00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77 887,00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76 360,00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1 527,00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1 527,00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88 113,00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5 814,00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имущества, за исключением затрат, непосредственно связанных с выполнением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756,00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248,00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78 581,00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2 622,00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отраслевого корректирующего коэффициента по виду театральной деятельности: драма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237 652,00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отраслевого корректирующего коэффициента по виду театральной деятельности: балет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698 614,00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содержание муниципального имущества </w:t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754 751,00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  <w:br w:type="textWrapping" w:clear="all"/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166 000,00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77 887,00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76 360,00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tabs>
                <w:tab w:val="left" w:pos="1333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1 527,00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1 527,00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88 113,00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5 814,00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имущества, за исключением затрат, непосредственно связанных с выполнением муниципальной услуги 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756,00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248,00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78 581,00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2 622,00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отраслевого корректирующего коэффициента по виду театральной деятельности: драма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237 652,00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отраслевого корректирующего коэффициента по виду театральной деятельности: балет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698 614,00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содержание муниципального имущества </w:t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754 751,00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5000" w:type="pct"/>
            <w:textDirection w:val="lrTb"/>
            <w:noWrap w:val="false"/>
          </w:tcPr>
          <w:p>
            <w:pPr>
              <w:ind w:left="960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Базовый норматив затрат на оказание муниципальной услуги,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166 000,00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77 887,00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оказанием муниципальной услуги, и начисления на выплаты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оплате труда работников, непосредственно связанных с оказанием муниципальной услуги, включая страховые взносы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76 360,00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1 527,00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коммунальных услуг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1 527,00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88 113,00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коммунальные услуги, за исключением затрат, непосредственно связанных с выполнением муниципальной услуги 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недвижимого имущества 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5 814,00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содержание объектов особо ценного движимого имущества, за исключением затрат, непосредственно связанных с выполнением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756,00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248,00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78 581,00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2 622,00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Нормативные затраты на оказание муниципальной услуги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отраслевого корректирующего коэффициента по виду театральной деятельности: драма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237 652,00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Нормативные затраты на оказание муниципальной услуги </w:t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учетом отраслевого корректирующего коэффициента по виду театральной деятельности: балет</w:t>
            </w:r>
            <w:r>
              <w:rPr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698 614,00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981" w:type="pct"/>
            <w:textDirection w:val="lrTb"/>
            <w:noWrap w:val="false"/>
          </w:tcPr>
          <w:p>
            <w:pPr>
              <w:widowControl w:val="off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Нормативные затраты на содержание муниципального имущества </w:t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1019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754 751,00</w:t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40" w:lineRule="exact"/>
        <w:widowControl w:val="off"/>
        <w:rPr>
          <w:sz w:val="28"/>
          <w:szCs w:val="24"/>
        </w:rPr>
        <w:sectPr>
          <w:headerReference w:type="default" r:id="rId10"/>
          <w:headerReference w:type="even" r:id="rId11"/>
          <w:footerReference w:type="default" r:id="rId12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10812"/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  <w:t xml:space="preserve">УТВЕРЖДЕНЫ</w:t>
      </w:r>
      <w:r>
        <w:rPr>
          <w:sz w:val="28"/>
          <w:szCs w:val="24"/>
        </w:rPr>
      </w:r>
    </w:p>
    <w:p>
      <w:pPr>
        <w:ind w:left="10800"/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города Перми</w:t>
      </w:r>
      <w:r>
        <w:rPr>
          <w:sz w:val="28"/>
          <w:szCs w:val="24"/>
        </w:rPr>
      </w:r>
    </w:p>
    <w:p>
      <w:pPr>
        <w:ind w:left="10800"/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>
        <w:rPr>
          <w:sz w:val="28"/>
          <w:szCs w:val="28"/>
        </w:rPr>
        <w:t xml:space="preserve">06.10.2025 № 729</w:t>
      </w:r>
      <w:r/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widowControl w:val="off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ОТРАСЛЕВЫЕ КОРРЕКТИРУЮЩИЕ КОЭФФИЦИЕНТЫ</w:t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widowControl w:val="off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к базовому нормативу затрат на оказание муниципальной услуги</w:t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widowControl w:val="off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«Показ (организация показа) спектаклей (театральных постановок)» </w:t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widowControl w:val="off"/>
        <w:rPr>
          <w:sz w:val="28"/>
          <w:szCs w:val="24"/>
        </w:rPr>
      </w:pPr>
      <w:r>
        <w:rPr>
          <w:b/>
          <w:sz w:val="28"/>
          <w:szCs w:val="24"/>
        </w:rPr>
        <w:t xml:space="preserve">(с учетом всех форм)</w:t>
      </w:r>
      <w:r>
        <w:rPr>
          <w:sz w:val="28"/>
          <w:szCs w:val="24"/>
        </w:rPr>
      </w:r>
    </w:p>
    <w:p>
      <w:pPr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737"/>
        <w:gridCol w:w="3365"/>
        <w:gridCol w:w="3549"/>
        <w:gridCol w:w="4187"/>
      </w:tblGrid>
      <w:tr>
        <w:tblPrEx/>
        <w:trPr/>
        <w:tc>
          <w:tcPr>
            <w:tcW w:w="125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муниципальной услуги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Уникальный номер реестровой записи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9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отраслевой специфики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1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отраслевых </w:t>
            </w:r>
            <w:r>
              <w:rPr>
                <w:sz w:val="24"/>
                <w:szCs w:val="24"/>
              </w:rPr>
              <w:br w:type="textWrapping" w:clear="all"/>
              <w:t xml:space="preserve">корректирующих коэффициентов</w:t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737"/>
        <w:gridCol w:w="3365"/>
        <w:gridCol w:w="3549"/>
        <w:gridCol w:w="4187"/>
      </w:tblGrid>
      <w:tr>
        <w:tblPrEx/>
        <w:trPr/>
        <w:tc>
          <w:tcPr>
            <w:tcW w:w="1259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34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196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1411" w:type="pc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259" w:type="pct"/>
            <w:vMerge w:val="restart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 (организация показа) спектаклей (театральных постановок) (с учетом всех форм)</w:t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pct"/>
            <w:vMerge w:val="restar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900400О.99.</w:t>
            </w:r>
            <w:r>
              <w:rPr>
                <w:sz w:val="24"/>
                <w:szCs w:val="24"/>
              </w:rPr>
              <w:t xml:space="preserve">0.ББ</w:t>
            </w:r>
            <w:r>
              <w:rPr>
                <w:sz w:val="24"/>
                <w:szCs w:val="24"/>
              </w:rPr>
              <w:t xml:space="preserve">67АА00002</w:t>
            </w:r>
            <w:r>
              <w:rPr>
                <w:sz w:val="24"/>
                <w:szCs w:val="24"/>
              </w:rPr>
            </w:r>
          </w:p>
        </w:tc>
        <w:tc>
          <w:tcPr>
            <w:tcW w:w="119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драма</w:t>
            </w:r>
            <w:r>
              <w:rPr>
                <w:sz w:val="24"/>
                <w:szCs w:val="24"/>
              </w:rPr>
            </w:r>
          </w:p>
        </w:tc>
        <w:tc>
          <w:tcPr>
            <w:tcW w:w="14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  <w:lang w:val="en-US"/>
              </w:rPr>
              <w:t xml:space="preserve">43164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259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pct"/>
            <w:vMerge w:val="continue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96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балет</w:t>
            </w:r>
            <w:r>
              <w:rPr>
                <w:sz w:val="24"/>
                <w:szCs w:val="24"/>
              </w:rPr>
            </w:r>
          </w:p>
        </w:tc>
        <w:tc>
          <w:tcPr>
            <w:tcW w:w="1411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</w:rPr>
              <w:t xml:space="preserve">,2</w:t>
            </w:r>
            <w:r>
              <w:rPr>
                <w:sz w:val="24"/>
                <w:szCs w:val="24"/>
                <w:lang w:val="en-US"/>
              </w:rPr>
              <w:t xml:space="preserve">0852</w:t>
            </w: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ind w:firstLine="720"/>
        <w:jc w:val="both"/>
        <w:spacing w:line="36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4248" w:firstLine="708"/>
        <w:widowControl w:val="off"/>
        <w:rPr>
          <w:sz w:val="28"/>
          <w:szCs w:val="24"/>
        </w:rPr>
        <w:sectPr>
          <w:footnotePr/>
          <w:endnotePr/>
          <w:type w:val="nextPage"/>
          <w:pgSz w:w="16838" w:h="11906" w:orient="landscape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10206"/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  <w:t xml:space="preserve">УТВЕРЖДЕНЫ </w:t>
      </w:r>
      <w:r>
        <w:rPr>
          <w:sz w:val="28"/>
          <w:szCs w:val="24"/>
        </w:rPr>
      </w:r>
    </w:p>
    <w:p>
      <w:pPr>
        <w:ind w:left="10206"/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  <w:t xml:space="preserve">постановлением администрации </w:t>
      </w:r>
      <w:r>
        <w:rPr>
          <w:sz w:val="28"/>
          <w:szCs w:val="24"/>
        </w:rPr>
      </w:r>
    </w:p>
    <w:p>
      <w:pPr>
        <w:ind w:left="10206"/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  <w:t xml:space="preserve">города Перми </w:t>
      </w:r>
      <w:r>
        <w:rPr>
          <w:sz w:val="28"/>
          <w:szCs w:val="24"/>
        </w:rPr>
      </w:r>
    </w:p>
    <w:p>
      <w:pPr>
        <w:ind w:left="10206"/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06.10.2025 № 729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widowControl w:val="off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ЗНАЧЕНИЯ</w:t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натуральных норм, необходимых для определения базовых нормативов затрат на оказание </w:t>
      </w:r>
      <w:r>
        <w:rPr>
          <w:b/>
          <w:sz w:val="28"/>
          <w:szCs w:val="28"/>
        </w:rPr>
        <w:br w:type="textWrapping" w:clear="all"/>
        <w:t xml:space="preserve">муниципальной услуги </w:t>
      </w:r>
      <w:r>
        <w:rPr>
          <w:b/>
          <w:sz w:val="28"/>
          <w:szCs w:val="24"/>
        </w:rPr>
        <w:t xml:space="preserve">«Показ (организация показа) спектаклей (театральных постановок)» </w:t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</w:rPr>
      </w:pPr>
      <w:r>
        <w:rPr>
          <w:b/>
          <w:sz w:val="28"/>
          <w:szCs w:val="24"/>
        </w:rPr>
        <w:t xml:space="preserve">(с учетом всех форм)</w:t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3070"/>
        <w:gridCol w:w="4199"/>
        <w:gridCol w:w="1407"/>
        <w:gridCol w:w="1408"/>
        <w:gridCol w:w="2556"/>
      </w:tblGrid>
      <w:tr>
        <w:tblPrEx/>
        <w:trPr/>
        <w:tc>
          <w:tcPr>
            <w:tcW w:w="22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муниципальной услуги</w:t>
            </w: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Уникальный номер </w:t>
            </w:r>
            <w:r>
              <w:rPr>
                <w:sz w:val="24"/>
                <w:szCs w:val="24"/>
              </w:rPr>
              <w:br w:type="textWrapping" w:clear="all"/>
              <w:t xml:space="preserve">реестровой записи</w:t>
            </w:r>
            <w:r>
              <w:rPr>
                <w:sz w:val="24"/>
                <w:szCs w:val="24"/>
              </w:rPr>
            </w:r>
          </w:p>
        </w:tc>
        <w:tc>
          <w:tcPr>
            <w:tcW w:w="42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натуральной формы</w:t>
            </w:r>
            <w:r>
              <w:rPr>
                <w:sz w:val="24"/>
                <w:szCs w:val="24"/>
              </w:rPr>
            </w:r>
          </w:p>
        </w:tc>
        <w:tc>
          <w:tcPr>
            <w:tcW w:w="142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Единица измерения натуральной нормы</w:t>
            </w:r>
            <w:r>
              <w:rPr>
                <w:sz w:val="24"/>
                <w:szCs w:val="24"/>
              </w:rPr>
            </w:r>
          </w:p>
        </w:tc>
        <w:tc>
          <w:tcPr>
            <w:tcW w:w="14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натуральной нормы</w:t>
            </w:r>
            <w:r>
              <w:rPr>
                <w:sz w:val="24"/>
                <w:szCs w:val="24"/>
              </w:rPr>
            </w:r>
          </w:p>
        </w:tc>
        <w:tc>
          <w:tcPr>
            <w:tcW w:w="259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Примечание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20"/>
        <w:jc w:val="both"/>
        <w:widowControl w:val="o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3073"/>
        <w:gridCol w:w="4198"/>
        <w:gridCol w:w="1404"/>
        <w:gridCol w:w="1407"/>
        <w:gridCol w:w="2559"/>
      </w:tblGrid>
      <w:tr>
        <w:tblPrEx/>
        <w:trPr>
          <w:cantSplit/>
          <w:tblHeader/>
        </w:trPr>
        <w:tc>
          <w:tcPr>
            <w:tcW w:w="74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restart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 (организация показа) спектаклей </w:t>
            </w:r>
            <w:r>
              <w:rPr>
                <w:sz w:val="24"/>
                <w:szCs w:val="24"/>
              </w:rPr>
              <w:br w:type="textWrapping" w:clear="all"/>
              <w:t xml:space="preserve">(театральных постановок) (с учетом всех форм)</w:t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restar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900400О.99.</w:t>
            </w:r>
            <w:r>
              <w:rPr>
                <w:sz w:val="24"/>
                <w:szCs w:val="24"/>
              </w:rPr>
              <w:t xml:space="preserve">0.ББ</w:t>
            </w:r>
            <w:r>
              <w:rPr>
                <w:sz w:val="24"/>
                <w:szCs w:val="24"/>
              </w:rPr>
              <w:t xml:space="preserve">67АА00002</w:t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224" w:type="pct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Натуральные нормы, непосредственно связанные с оказанием муниципальной услуги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224" w:type="pct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Натуральные нормы, используемые при определении затрат на оплату труда с нач</w:t>
            </w:r>
            <w:r>
              <w:rPr>
                <w:sz w:val="24"/>
                <w:szCs w:val="24"/>
              </w:rPr>
              <w:t xml:space="preserve">ислениями на выплаты 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Федерации, Федеральный фонд обязательного медицинского страхования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артист (кукловод) театра кукол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0,122928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костюмер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0,005525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помощник режиссера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0,005525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машинист сцены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0,011050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столяр по изготовлению декораций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осветитель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0,011050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звукооператор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0,008287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администратор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труппой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художник-бутафор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0,011050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художник-конструктор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художник по свету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репетитор по вокалу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224" w:type="pct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Натуральные нормы, используемые при определении затрат на коммунальные услуги, непосредственно связанных с оказанием муниципальной услуги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42,600824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теплоэнергия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Гкал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0,860414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1,684964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1,684964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плата за негативное воздействие на работу централизованной системы водоотведения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0,002739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224" w:type="pct"/>
            <w:vAlign w:val="center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Натуральные нормы на общехозяйственные нужды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224" w:type="pct"/>
            <w:vAlign w:val="center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Натуральные нормы, используемые при определении затрат на коммунальные услуги, </w:t>
            </w:r>
            <w:r>
              <w:rPr>
                <w:sz w:val="24"/>
                <w:szCs w:val="24"/>
              </w:rPr>
              <w:br w:type="textWrapping" w:clear="all"/>
              <w:t xml:space="preserve">за исключением затрат, непосредственно связанных с оказанием муниципальной услуги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электроэнергия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кВт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0,352215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теплоэнергия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Гкал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0,007114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водоснабжение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0,013931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водоотведение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куб. м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0,013931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плата за негативное воздействие на работу централизованной системы водоотведения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0,000023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вывоз твердых коммунальных отходов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0,018206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224" w:type="pct"/>
            <w:vAlign w:val="center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Содержание объектов недвижимого имущества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tabs>
                <w:tab w:val="left" w:pos="145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дератизация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65,635359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tabs>
                <w:tab w:val="left" w:pos="145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дезинсекция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33,149171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tabs>
                <w:tab w:val="left" w:pos="145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помещений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87,427624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tabs>
                <w:tab w:val="left" w:pos="145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уборка территории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20,552486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tabs>
                <w:tab w:val="left" w:pos="145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очистка кровли от снега, погрузка, вывоз, а также утилизация снега </w:t>
            </w:r>
            <w:r>
              <w:rPr>
                <w:sz w:val="24"/>
                <w:szCs w:val="24"/>
              </w:rPr>
            </w:r>
          </w:p>
          <w:p>
            <w:pPr>
              <w:ind w:left="-28" w:right="-28"/>
              <w:jc w:val="center"/>
              <w:widowControl w:val="off"/>
              <w:tabs>
                <w:tab w:val="left" w:pos="145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территории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tabs>
                <w:tab w:val="left" w:pos="145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текущий ремонт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224" w:type="pct"/>
            <w:vAlign w:val="center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Натуральные нормы, используемые при определении затрат на содержание объектов особо ценного движимого имущества, за исключением затрат, непосредственно связанных </w:t>
            </w:r>
            <w:r>
              <w:rPr>
                <w:sz w:val="24"/>
                <w:szCs w:val="24"/>
              </w:rPr>
            </w:r>
          </w:p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выполнением муниципальной услуги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комплекса системы противопожарной защиты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0,033149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комплекса системы водяного и порошкового пожаротушения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0,033149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системы контроля и управления доступом и системы видеонаблюдения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0,033149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и ремонт транспортных средств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224" w:type="pct"/>
            <w:vAlign w:val="center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Услуги связи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стационарная связь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интернет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0,033149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224" w:type="pct"/>
            <w:vAlign w:val="center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Натуральные нормы, используемые при определении затрат на оплату труда с начислениями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руководитель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(по техническим вопросам)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(по связям с общественностью)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цеха (бутафорского)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цеха (электроосветительного)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(юридического)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(планово-аналитического)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(планово-аналитического отдела)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инженер по охране труда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документовед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менеджер по рекламе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менеджер по связям с общественностью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художественно-постановочной частью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0,001381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литературно-драматургической части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водитель автомобиля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складом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гардеробщик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0,006215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кассир билетный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оператор стиральных машин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0,001381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слесарь (сантехник)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слесарь (ремонтник)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швея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электромонтер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контролер билетов (кассир)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0,006215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агент по закупкам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штатная единица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0,002762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W w:w="3224" w:type="pct"/>
            <w:textDirection w:val="lrTb"/>
            <w:noWrap w:val="false"/>
          </w:tcPr>
          <w:p>
            <w:pPr>
              <w:ind w:left="-28" w:right="-28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Прочие общехозяйственные нужды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предрейсового медицинского осмотра водителей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0,610497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физическая охрана</w:t>
            </w:r>
            <w:r>
              <w:rPr>
                <w:sz w:val="24"/>
                <w:szCs w:val="24"/>
              </w:rPr>
            </w:r>
          </w:p>
        </w:tc>
        <w:tc>
          <w:tcPr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услуга</w:t>
            </w:r>
            <w:r>
              <w:rPr>
                <w:sz w:val="24"/>
                <w:szCs w:val="24"/>
              </w:rPr>
            </w:r>
          </w:p>
        </w:tc>
        <w:tc>
          <w:tcPr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22,806630</w:t>
            </w:r>
            <w:r>
              <w:rPr>
                <w:sz w:val="24"/>
                <w:szCs w:val="24"/>
              </w:rPr>
            </w:r>
          </w:p>
        </w:tc>
        <w:tc>
          <w:tcPr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bottom w:val="single" w:color="000000" w:sz="4" w:space="0"/>
            </w:tcBorders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бумага для офисной техники А4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пачка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0,248619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ручка шариковая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0,359116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42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35" w:type="pct"/>
            <w:vMerge w:val="continue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бензин АИ-92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3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литр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4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7,515884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2" w:type="pct"/>
            <w:textDirection w:val="lrTb"/>
            <w:noWrap w:val="false"/>
          </w:tcPr>
          <w:p>
            <w:pPr>
              <w:ind w:left="-28" w:right="-28"/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наиболее эффективного учреждения</w:t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134" w:right="567" w:bottom="1134" w:left="1418" w:header="363" w:footer="68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ind w:right="360"/>
      <w:rPr>
        <w:sz w:val="16"/>
      </w:rPr>
    </w:pP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6</w:t>
    </w:r>
    <w:r>
      <w:rPr>
        <w:sz w:val="28"/>
        <w:szCs w:val="28"/>
      </w:rPr>
      <w:fldChar w:fldCharType="end"/>
    </w:r>
    <w:r>
      <w:rPr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rPr>
        <w:rStyle w:val="901"/>
      </w:rPr>
      <w:framePr w:wrap="around" w:vAnchor="text" w:hAnchor="margin" w:xAlign="center" w:y="1"/>
    </w:pPr>
    <w:r>
      <w:rPr>
        <w:rStyle w:val="901"/>
      </w:rPr>
      <w:fldChar w:fldCharType="begin"/>
    </w:r>
    <w:r>
      <w:rPr>
        <w:rStyle w:val="901"/>
      </w:rPr>
      <w:instrText xml:space="preserve">PAGE  </w:instrText>
    </w:r>
    <w:r>
      <w:rPr>
        <w:rStyle w:val="901"/>
      </w:rPr>
      <w:fldChar w:fldCharType="end"/>
    </w:r>
    <w:r>
      <w:rPr>
        <w:rStyle w:val="901"/>
      </w:rPr>
    </w:r>
  </w:p>
  <w:p>
    <w:pPr>
      <w:pStyle w:val="7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11"/>
      <w:numFmt w:val="decimal"/>
      <w:isLgl w:val="false"/>
      <w:suff w:val="tab"/>
      <w:lvlText w:val="%1"/>
      <w:lvlJc w:val="left"/>
      <w:pPr>
        <w:ind w:left="810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765"/>
      </w:pPr>
    </w:lvl>
    <w:lvl w:ilvl="1">
      <w:start w:val="1"/>
      <w:numFmt w:val="decimal"/>
      <w:isLgl w:val="false"/>
      <w:suff w:val="tab"/>
      <w:lvlText w:val="%1.%2."/>
      <w:lvlJc w:val="left"/>
      <w:pPr>
        <w:ind w:left="17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67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812" w:hanging="2160"/>
      </w:pPr>
    </w:lvl>
  </w:abstractNum>
  <w:abstractNum w:abstractNumId="4">
    <w:multiLevelType w:val="hybridMultilevel"/>
    <w:lvl w:ilvl="0">
      <w:start w:val="2026"/>
      <w:numFmt w:val="decimal"/>
      <w:isLgl w:val="false"/>
      <w:suff w:val="tab"/>
      <w:lvlText w:val="%1"/>
      <w:lvlJc w:val="left"/>
      <w:pPr>
        <w:ind w:left="960" w:hanging="6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7"/>
    <w:link w:val="7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7"/>
    <w:link w:val="7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7"/>
    <w:link w:val="741"/>
    <w:uiPriority w:val="10"/>
    <w:rPr>
      <w:sz w:val="48"/>
      <w:szCs w:val="48"/>
    </w:rPr>
  </w:style>
  <w:style w:type="character" w:styleId="37">
    <w:name w:val="Subtitle Char"/>
    <w:basedOn w:val="727"/>
    <w:link w:val="743"/>
    <w:uiPriority w:val="11"/>
    <w:rPr>
      <w:sz w:val="24"/>
      <w:szCs w:val="24"/>
    </w:rPr>
  </w:style>
  <w:style w:type="character" w:styleId="39">
    <w:name w:val="Quote Char"/>
    <w:link w:val="745"/>
    <w:uiPriority w:val="29"/>
    <w:rPr>
      <w:i/>
    </w:rPr>
  </w:style>
  <w:style w:type="character" w:styleId="41">
    <w:name w:val="Intense Quote Char"/>
    <w:link w:val="747"/>
    <w:uiPriority w:val="30"/>
    <w:rPr>
      <w:i/>
    </w:rPr>
  </w:style>
  <w:style w:type="character" w:styleId="47">
    <w:name w:val="Caption Char"/>
    <w:basedOn w:val="727"/>
    <w:link w:val="753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82"/>
    <w:uiPriority w:val="99"/>
    <w:rPr>
      <w:sz w:val="18"/>
    </w:rPr>
  </w:style>
  <w:style w:type="character" w:styleId="179">
    <w:name w:val="Endnote Text Char"/>
    <w:link w:val="885"/>
    <w:uiPriority w:val="99"/>
    <w:rPr>
      <w:sz w:val="20"/>
    </w:rPr>
  </w:style>
  <w:style w:type="paragraph" w:styleId="717" w:default="1">
    <w:name w:val="Normal"/>
    <w:qFormat/>
    <w:rPr>
      <w:lang w:eastAsia="ru-RU"/>
    </w:rPr>
  </w:style>
  <w:style w:type="paragraph" w:styleId="718">
    <w:name w:val="Heading 1"/>
    <w:basedOn w:val="717"/>
    <w:next w:val="717"/>
    <w:link w:val="730"/>
    <w:qFormat/>
    <w:pPr>
      <w:ind w:right="-1" w:firstLine="709"/>
      <w:jc w:val="both"/>
      <w:keepNext/>
      <w:outlineLvl w:val="0"/>
    </w:pPr>
    <w:rPr>
      <w:sz w:val="24"/>
    </w:rPr>
  </w:style>
  <w:style w:type="paragraph" w:styleId="719">
    <w:name w:val="Heading 2"/>
    <w:basedOn w:val="717"/>
    <w:next w:val="717"/>
    <w:link w:val="731"/>
    <w:qFormat/>
    <w:pPr>
      <w:ind w:right="-1"/>
      <w:jc w:val="both"/>
      <w:keepNext/>
      <w:outlineLvl w:val="1"/>
    </w:pPr>
    <w:rPr>
      <w:sz w:val="24"/>
    </w:rPr>
  </w:style>
  <w:style w:type="paragraph" w:styleId="720">
    <w:name w:val="Heading 3"/>
    <w:basedOn w:val="717"/>
    <w:next w:val="717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17"/>
    <w:next w:val="717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17"/>
    <w:next w:val="717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Заголовок 1 Знак"/>
    <w:link w:val="718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link w:val="719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link w:val="720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71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1">
    <w:name w:val="Title"/>
    <w:basedOn w:val="717"/>
    <w:next w:val="71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Заголовок Знак"/>
    <w:link w:val="741"/>
    <w:uiPriority w:val="10"/>
    <w:rPr>
      <w:sz w:val="48"/>
      <w:szCs w:val="48"/>
    </w:rPr>
  </w:style>
  <w:style w:type="paragraph" w:styleId="743">
    <w:name w:val="Subtitle"/>
    <w:basedOn w:val="717"/>
    <w:next w:val="71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link w:val="743"/>
    <w:uiPriority w:val="11"/>
    <w:rPr>
      <w:sz w:val="24"/>
      <w:szCs w:val="24"/>
    </w:rPr>
  </w:style>
  <w:style w:type="paragraph" w:styleId="745">
    <w:name w:val="Quote"/>
    <w:basedOn w:val="717"/>
    <w:next w:val="71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17"/>
    <w:next w:val="71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17"/>
    <w:link w:val="904"/>
    <w:uiPriority w:val="99"/>
    <w:pPr>
      <w:tabs>
        <w:tab w:val="center" w:pos="4153" w:leader="none"/>
        <w:tab w:val="right" w:pos="8306" w:leader="none"/>
      </w:tabs>
    </w:pPr>
  </w:style>
  <w:style w:type="character" w:styleId="750" w:customStyle="1">
    <w:name w:val="Header Char"/>
    <w:uiPriority w:val="99"/>
  </w:style>
  <w:style w:type="paragraph" w:styleId="751">
    <w:name w:val="Footer"/>
    <w:basedOn w:val="717"/>
    <w:link w:val="980"/>
    <w:pPr>
      <w:tabs>
        <w:tab w:val="center" w:pos="4153" w:leader="none"/>
        <w:tab w:val="right" w:pos="8306" w:leader="none"/>
      </w:tabs>
    </w:pPr>
  </w:style>
  <w:style w:type="character" w:styleId="752" w:customStyle="1">
    <w:name w:val="Footer Char"/>
    <w:uiPriority w:val="99"/>
  </w:style>
  <w:style w:type="paragraph" w:styleId="753">
    <w:name w:val="Caption"/>
    <w:basedOn w:val="717"/>
    <w:next w:val="717"/>
    <w:link w:val="754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4" w:customStyle="1">
    <w:name w:val="Название объекта Знак"/>
    <w:link w:val="753"/>
    <w:uiPriority w:val="35"/>
    <w:rPr>
      <w:b/>
      <w:bCs/>
      <w:color w:val="4f81bd" w:themeColor="accent1"/>
      <w:sz w:val="18"/>
      <w:szCs w:val="18"/>
    </w:rPr>
  </w:style>
  <w:style w:type="table" w:styleId="755">
    <w:name w:val="Table Grid"/>
    <w:basedOn w:val="728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000ff"/>
      <w:u w:val="single"/>
    </w:rPr>
  </w:style>
  <w:style w:type="paragraph" w:styleId="882">
    <w:name w:val="footnote text"/>
    <w:basedOn w:val="717"/>
    <w:link w:val="883"/>
    <w:uiPriority w:val="99"/>
    <w:semiHidden/>
    <w:unhideWhenUsed/>
    <w:pPr>
      <w:spacing w:after="40"/>
    </w:pPr>
    <w:rPr>
      <w:sz w:val="18"/>
    </w:rPr>
  </w:style>
  <w:style w:type="character" w:styleId="883" w:customStyle="1">
    <w:name w:val="Текст сноски Знак"/>
    <w:link w:val="882"/>
    <w:uiPriority w:val="99"/>
    <w:rPr>
      <w:sz w:val="18"/>
    </w:rPr>
  </w:style>
  <w:style w:type="character" w:styleId="884">
    <w:name w:val="footnote reference"/>
    <w:uiPriority w:val="99"/>
    <w:unhideWhenUsed/>
    <w:rPr>
      <w:vertAlign w:val="superscript"/>
    </w:rPr>
  </w:style>
  <w:style w:type="paragraph" w:styleId="885">
    <w:name w:val="endnote text"/>
    <w:basedOn w:val="717"/>
    <w:link w:val="886"/>
    <w:uiPriority w:val="99"/>
    <w:semiHidden/>
    <w:unhideWhenUsed/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uiPriority w:val="99"/>
    <w:semiHidden/>
    <w:unhideWhenUsed/>
    <w:rPr>
      <w:vertAlign w:val="superscript"/>
    </w:rPr>
  </w:style>
  <w:style w:type="paragraph" w:styleId="888">
    <w:name w:val="toc 1"/>
    <w:basedOn w:val="717"/>
    <w:next w:val="717"/>
    <w:uiPriority w:val="39"/>
    <w:unhideWhenUsed/>
    <w:pPr>
      <w:spacing w:after="57"/>
    </w:pPr>
  </w:style>
  <w:style w:type="paragraph" w:styleId="889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90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1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2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3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4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5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6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17"/>
    <w:next w:val="717"/>
    <w:uiPriority w:val="99"/>
    <w:unhideWhenUsed/>
  </w:style>
  <w:style w:type="paragraph" w:styleId="899">
    <w:name w:val="Body Text"/>
    <w:basedOn w:val="717"/>
    <w:link w:val="923"/>
    <w:pPr>
      <w:ind w:right="3117"/>
    </w:pPr>
    <w:rPr>
      <w:rFonts w:ascii="Courier New" w:hAnsi="Courier New"/>
      <w:sz w:val="26"/>
    </w:rPr>
  </w:style>
  <w:style w:type="paragraph" w:styleId="900">
    <w:name w:val="Body Text Indent"/>
    <w:basedOn w:val="717"/>
    <w:pPr>
      <w:ind w:right="-1"/>
      <w:jc w:val="both"/>
    </w:pPr>
    <w:rPr>
      <w:sz w:val="26"/>
    </w:rPr>
  </w:style>
  <w:style w:type="character" w:styleId="901">
    <w:name w:val="page number"/>
    <w:basedOn w:val="727"/>
  </w:style>
  <w:style w:type="paragraph" w:styleId="902">
    <w:name w:val="Balloon Text"/>
    <w:basedOn w:val="717"/>
    <w:link w:val="903"/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link w:val="902"/>
    <w:rPr>
      <w:rFonts w:ascii="Segoe UI" w:hAnsi="Segoe UI" w:cs="Segoe UI"/>
      <w:sz w:val="18"/>
      <w:szCs w:val="18"/>
    </w:rPr>
  </w:style>
  <w:style w:type="character" w:styleId="904" w:customStyle="1">
    <w:name w:val="Верхний колонтитул Знак"/>
    <w:link w:val="749"/>
    <w:uiPriority w:val="99"/>
  </w:style>
  <w:style w:type="numbering" w:styleId="905" w:customStyle="1">
    <w:name w:val="Нет списка1"/>
    <w:next w:val="729"/>
    <w:uiPriority w:val="99"/>
    <w:semiHidden/>
    <w:unhideWhenUsed/>
  </w:style>
  <w:style w:type="character" w:styleId="906">
    <w:name w:val="FollowedHyperlink"/>
    <w:uiPriority w:val="99"/>
    <w:unhideWhenUsed/>
    <w:rPr>
      <w:color w:val="800080"/>
      <w:u w:val="single"/>
    </w:rPr>
  </w:style>
  <w:style w:type="paragraph" w:styleId="907" w:customStyle="1">
    <w:name w:val="xl65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66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67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0" w:customStyle="1">
    <w:name w:val="xl68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69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0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3" w:customStyle="1">
    <w:name w:val="xl71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2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3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4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5"/>
    <w:basedOn w:val="71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6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7"/>
    <w:basedOn w:val="71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8"/>
    <w:basedOn w:val="7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9"/>
    <w:basedOn w:val="7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Форма"/>
    <w:rPr>
      <w:sz w:val="28"/>
      <w:szCs w:val="28"/>
      <w:lang w:eastAsia="ru-RU"/>
    </w:rPr>
  </w:style>
  <w:style w:type="character" w:styleId="923" w:customStyle="1">
    <w:name w:val="Основной текст Знак"/>
    <w:link w:val="899"/>
    <w:rPr>
      <w:rFonts w:ascii="Courier New" w:hAnsi="Courier New"/>
      <w:sz w:val="26"/>
    </w:rPr>
  </w:style>
  <w:style w:type="paragraph" w:styleId="924" w:customStyle="1">
    <w:name w:val="ConsPlusNormal"/>
    <w:rPr>
      <w:sz w:val="28"/>
      <w:szCs w:val="28"/>
      <w:lang w:eastAsia="ru-RU"/>
    </w:rPr>
  </w:style>
  <w:style w:type="numbering" w:styleId="925" w:customStyle="1">
    <w:name w:val="Нет списка11"/>
    <w:next w:val="729"/>
    <w:uiPriority w:val="99"/>
    <w:semiHidden/>
    <w:unhideWhenUsed/>
  </w:style>
  <w:style w:type="numbering" w:styleId="926" w:customStyle="1">
    <w:name w:val="Нет списка111"/>
    <w:next w:val="729"/>
    <w:uiPriority w:val="99"/>
    <w:semiHidden/>
    <w:unhideWhenUsed/>
  </w:style>
  <w:style w:type="paragraph" w:styleId="927" w:customStyle="1">
    <w:name w:val="font5"/>
    <w:basedOn w:val="71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8" w:customStyle="1">
    <w:name w:val="xl80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9" w:customStyle="1">
    <w:name w:val="xl81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0" w:customStyle="1">
    <w:name w:val="xl82"/>
    <w:basedOn w:val="71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31" w:customStyle="1">
    <w:name w:val="xl83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4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5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6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7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88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89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0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1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2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1" w:customStyle="1">
    <w:name w:val="xl93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4"/>
    <w:basedOn w:val="71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5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6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7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8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7" w:customStyle="1">
    <w:name w:val="xl99"/>
    <w:basedOn w:val="71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100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1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2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3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4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5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6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7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8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9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0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1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2"/>
    <w:basedOn w:val="71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1" w:customStyle="1">
    <w:name w:val="xl113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4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5"/>
    <w:basedOn w:val="71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4" w:customStyle="1">
    <w:name w:val="xl116"/>
    <w:basedOn w:val="71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7"/>
    <w:basedOn w:val="71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8"/>
    <w:basedOn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9"/>
    <w:basedOn w:val="71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20"/>
    <w:basedOn w:val="7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1"/>
    <w:basedOn w:val="7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0" w:customStyle="1">
    <w:name w:val="xl122"/>
    <w:basedOn w:val="7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23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4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5"/>
    <w:basedOn w:val="7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4" w:customStyle="1">
    <w:name w:val="Нет списка2"/>
    <w:next w:val="729"/>
    <w:uiPriority w:val="99"/>
    <w:semiHidden/>
    <w:unhideWhenUsed/>
  </w:style>
  <w:style w:type="numbering" w:styleId="975" w:customStyle="1">
    <w:name w:val="Нет списка3"/>
    <w:next w:val="729"/>
    <w:uiPriority w:val="99"/>
    <w:semiHidden/>
    <w:unhideWhenUsed/>
  </w:style>
  <w:style w:type="paragraph" w:styleId="976" w:customStyle="1">
    <w:name w:val="font6"/>
    <w:basedOn w:val="71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7" w:customStyle="1">
    <w:name w:val="font7"/>
    <w:basedOn w:val="71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8" w:customStyle="1">
    <w:name w:val="font8"/>
    <w:basedOn w:val="71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9" w:customStyle="1">
    <w:name w:val="Нет списка4"/>
    <w:next w:val="729"/>
    <w:uiPriority w:val="99"/>
    <w:semiHidden/>
    <w:unhideWhenUsed/>
  </w:style>
  <w:style w:type="character" w:styleId="980" w:customStyle="1">
    <w:name w:val="Нижний колонтитул Знак"/>
    <w:link w:val="751"/>
    <w:uiPriority w:val="99"/>
  </w:style>
  <w:style w:type="numbering" w:styleId="981" w:customStyle="1">
    <w:name w:val="Нет списка5"/>
    <w:next w:val="729"/>
    <w:semiHidden/>
  </w:style>
  <w:style w:type="paragraph" w:styleId="982" w:customStyle="1">
    <w:name w:val="Приложение"/>
    <w:basedOn w:val="899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983" w:customStyle="1">
    <w:name w:val="Подпись на  бланке должностного лица"/>
    <w:basedOn w:val="717"/>
    <w:next w:val="899"/>
    <w:pPr>
      <w:ind w:left="7088"/>
      <w:spacing w:before="480" w:line="240" w:lineRule="exact"/>
    </w:pPr>
    <w:rPr>
      <w:sz w:val="28"/>
    </w:rPr>
  </w:style>
  <w:style w:type="paragraph" w:styleId="984">
    <w:name w:val="Signature"/>
    <w:basedOn w:val="717"/>
    <w:next w:val="899"/>
    <w:link w:val="985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985" w:customStyle="1">
    <w:name w:val="Подпись Знак"/>
    <w:link w:val="984"/>
    <w:rPr>
      <w:sz w:val="28"/>
    </w:rPr>
  </w:style>
  <w:style w:type="character" w:styleId="986">
    <w:name w:val="annotation reference"/>
    <w:rPr>
      <w:sz w:val="16"/>
      <w:szCs w:val="16"/>
    </w:rPr>
  </w:style>
  <w:style w:type="paragraph" w:styleId="987">
    <w:name w:val="annotation text"/>
    <w:basedOn w:val="717"/>
    <w:link w:val="988"/>
    <w:pPr>
      <w:ind w:firstLine="720"/>
      <w:jc w:val="both"/>
    </w:pPr>
  </w:style>
  <w:style w:type="character" w:styleId="988" w:customStyle="1">
    <w:name w:val="Текст примечания Знак"/>
    <w:basedOn w:val="727"/>
    <w:link w:val="987"/>
  </w:style>
  <w:style w:type="paragraph" w:styleId="989">
    <w:name w:val="annotation subject"/>
    <w:basedOn w:val="987"/>
    <w:next w:val="987"/>
    <w:link w:val="990"/>
    <w:rPr>
      <w:b/>
      <w:bCs/>
    </w:rPr>
  </w:style>
  <w:style w:type="character" w:styleId="990" w:customStyle="1">
    <w:name w:val="Тема примечания Знак"/>
    <w:link w:val="989"/>
    <w:rPr>
      <w:b/>
      <w:bCs/>
    </w:rPr>
  </w:style>
  <w:style w:type="paragraph" w:styleId="991">
    <w:name w:val="Normal (Web)"/>
    <w:basedOn w:val="717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</cp:revision>
  <dcterms:created xsi:type="dcterms:W3CDTF">2025-10-03T09:41:00Z</dcterms:created>
  <dcterms:modified xsi:type="dcterms:W3CDTF">2025-10-07T09:32:02Z</dcterms:modified>
  <cp:version>1048576</cp:version>
</cp:coreProperties>
</file>