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960" cy="1661759"/>
                          <a:chOff x="0" y="0"/>
                          <a:chExt cx="6285960" cy="1661759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6285960" cy="1658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  <a:miter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950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5130" cy="509270"/>
                                        <wp:effectExtent l="0" t="0" r="0" b="0"/>
                                        <wp:docPr id="3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Рисунок 1"/>
                                                <pic:cNvPicPr>
                                                  <a:picLocks noChangeAspect="1"/>
                                                </pic:cNvPicPr>
                                                <pic:nvPr/>
                                              </pic:nvPicPr>
                                              <pic:blipFill>
                                                <a:blip r:embed="rId1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5130" cy="5092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1" o:spid="_x0000_s1" type="#_x0000_t75" style="width:31.90pt;height:40.10pt;mso-wrap-distance-left:0.00pt;mso-wrap-distance-top:0.00pt;mso-wrap-distance-right:0.00pt;mso-wrap-distance-bottom:0.00pt;" stroked="false">
                                        <v:path textboxrect="0,0,0,0"/>
                                        <v:imagedata r:id="rId13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2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58480" y="1350720"/>
                            <a:ext cx="1535400" cy="307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4941000" y="1353960"/>
                            <a:ext cx="1085040" cy="307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2;o:allowoverlap:true;o:allowincell:true;mso-position-horizontal-relative:text;margin-left:0.60pt;mso-position-horizontal:absolute;mso-position-vertical-relative:text;margin-top:-43.10pt;mso-position-vertical:absolute;width:494.95pt;height:130.85pt;mso-wrap-distance-left:0.00pt;mso-wrap-distance-top:0.00pt;mso-wrap-distance-right:0.00pt;mso-wrap-distance-bottom:0.00pt;" coordorigin="0,0" coordsize="62859,16617">
                <v:shape id="shape 3" o:spid="_x0000_s3" o:spt="1" type="#_x0000_t1" style="position:absolute;left:0;top:0;width:62859;height:16585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950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5130" cy="509270"/>
                                  <wp:effectExtent l="0" t="0" r="0" b="0"/>
                                  <wp:docPr id="3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Рисунок 1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1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30" cy="5092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1.90pt;height:40.10pt;mso-wrap-distance-left:0.00pt;mso-wrap-distance-top:0.00pt;mso-wrap-distance-right:0.00pt;mso-wrap-distance-bottom:0.00pt;" stroked="false">
                                  <v:path textboxrect="0,0,0,0"/>
                                  <v:imagedata r:id="rId13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2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4" o:spid="_x0000_s4" o:spt="1" type="#_x0000_t1" style="position:absolute;left:2584;top:13507;width:15354;height:3078;v-text-anchor:top;visibility:visible;" filled="f" stroked="f" strokeweight="0.00pt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5" o:spid="_x0000_s5" o:spt="1" type="#_x0000_t1" style="position:absolute;left:49410;top:13539;width:10850;height:3078;v-text-anchor:top;visibility:visible;" fillcolor="#FFFFFF" stroked="f" strokeweight="0.00pt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7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4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z-index:7;o:allowoverlap:true;o:allowincell:true;mso-position-horizontal-relative:text;margin-left:232.35pt;mso-position-horizontal:absolute;mso-position-vertical-relative:text;margin-top:-43.10pt;mso-position-vertical:absolute;width:32.05pt;height:39.00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Порядка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определения объема и условий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субсидий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иные цели муниципальному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бюджетному учреждению </w:t>
      </w: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Полигон</w:t>
      </w:r>
      <w:r>
        <w:rPr>
          <w:b/>
          <w:sz w:val="28"/>
          <w:szCs w:val="28"/>
        </w:rPr>
        <w:t xml:space="preserve">»,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подведомственному </w:t>
      </w:r>
      <w:r>
        <w:rPr>
          <w:b/>
          <w:sz w:val="28"/>
          <w:szCs w:val="28"/>
        </w:rPr>
        <w:t xml:space="preserve">департаменту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дорог и </w:t>
      </w:r>
      <w:r>
        <w:rPr>
          <w:b/>
          <w:sz w:val="28"/>
          <w:szCs w:val="28"/>
        </w:rPr>
        <w:t xml:space="preserve">благоустройства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shd w:val="clear" w:color="ffffff" w:themeColor="background1" w:fill="ffffff" w:themeFill="background1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 xml:space="preserve">оплату имущественных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shd w:val="clear" w:color="ffffff" w:themeColor="background1" w:fill="ffffff" w:themeFill="background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налогов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shd w:val="clear" w:color="ffffff" w:themeColor="background1" w:fill="ffffff" w:themeFill="background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shd w:val="clear" w:color="ffffff" w:themeColor="background1" w:fill="ffffff" w:themeFill="background1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shd w:val="clear" w:color="ffffff" w:themeColor="background1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hd w:val="clear" w:color="ffffff" w:themeColor="background1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абзацем вторым пункта 1 статьи 78.1 Бюджетного кодекса Российской Федерации, постановлением Правительства Российской </w:t>
      </w:r>
      <w:r>
        <w:rPr>
          <w:sz w:val="28"/>
          <w:szCs w:val="28"/>
        </w:rPr>
        <w:t xml:space="preserve">Федерации </w:t>
      </w:r>
      <w:r>
        <w:rPr>
          <w:sz w:val="28"/>
          <w:szCs w:val="28"/>
        </w:rPr>
        <w:br/>
        <w:t xml:space="preserve">от 22 февраля 2020 г.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hd w:val="clear" w:color="ffffff" w:themeColor="background1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админис</w:t>
      </w:r>
      <w:r>
        <w:rPr>
          <w:sz w:val="28"/>
          <w:szCs w:val="28"/>
        </w:rPr>
        <w:t xml:space="preserve">трация города Перми ПОСТАНОВЛЯЕТ: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hd w:val="clear" w:color="ffffff" w:themeColor="background1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Порядок определения объема и условий предоставления субсидий на иные цели муниципальному бюджетному учреждению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Полигон</w:t>
      </w:r>
      <w:r>
        <w:rPr>
          <w:sz w:val="28"/>
          <w:szCs w:val="28"/>
        </w:rPr>
        <w:t xml:space="preserve">», подведомственному департаменту дорог </w:t>
      </w:r>
      <w:r>
        <w:rPr>
          <w:sz w:val="28"/>
          <w:szCs w:val="28"/>
        </w:rPr>
        <w:br/>
        <w:t xml:space="preserve">и благоустройства админ</w:t>
      </w:r>
      <w:r>
        <w:rPr>
          <w:sz w:val="28"/>
          <w:szCs w:val="28"/>
        </w:rPr>
        <w:t xml:space="preserve">истрации города Перми, на оплату имущественных налогов.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Настоящее постановление вступает в силу с 01 января 2026 г., </w:t>
      </w:r>
      <w:r>
        <w:rPr>
          <w:sz w:val="28"/>
          <w:szCs w:val="28"/>
        </w:rPr>
        <w:t xml:space="preserve">но не ранее дня официального опубликования </w:t>
      </w:r>
      <w:r>
        <w:rPr>
          <w:sz w:val="28"/>
          <w:szCs w:val="28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вопро</w:t>
      </w:r>
      <w:r>
        <w:rPr>
          <w:sz w:val="28"/>
          <w:szCs w:val="28"/>
        </w:rPr>
        <w:t xml:space="preserve">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Галиханова Д.К.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right" w:pos="97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  <w:t xml:space="preserve">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right" w:pos="9780" w:leader="none"/>
        </w:tabs>
        <w:rPr>
          <w:sz w:val="28"/>
          <w:szCs w:val="28"/>
        </w:rPr>
        <w:sectPr>
          <w:headerReference w:type="default" r:id="rId8"/>
          <w:footnotePr/>
          <w:endnotePr/>
          <w:type w:val="nextPage"/>
          <w:pgSz w:w="11906" w:h="16838" w:orient="portrait"/>
          <w:pgMar w:top="1134" w:right="567" w:bottom="1134" w:left="1418" w:header="709" w:footer="0" w:gutter="0"/>
          <w:pgNumType w:start="1"/>
          <w:cols w:num="1" w:sep="0" w:space="1701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</w:rPr>
        <w:outlineLvl w:val="1"/>
      </w:pPr>
      <w:r/>
      <w:bookmarkStart w:id="1" w:name="undefined"/>
      <w:r/>
      <w:bookmarkEnd w:id="1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color w:val="000000"/>
          <w:sz w:val="28"/>
          <w:szCs w:val="28"/>
        </w:rPr>
      </w:pPr>
      <w:r/>
      <w:bookmarkStart w:id="2" w:name="undefined_Копия_1"/>
      <w:r/>
      <w:bookmarkEnd w:id="2"/>
      <w:r>
        <w:rPr>
          <w:b/>
          <w:color w:val="000000"/>
          <w:sz w:val="28"/>
          <w:szCs w:val="28"/>
        </w:rPr>
        <w:t xml:space="preserve">ПОРЯДОК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spacing w:line="240" w:lineRule="exac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определения объема и условий предоставления субсидий на иные цели 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spacing w:line="240" w:lineRule="exac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муниципальному бюджетному учреждению </w:t>
      </w:r>
      <w:r>
        <w:rPr>
          <w:b/>
          <w:color w:val="000000"/>
          <w:sz w:val="28"/>
          <w:szCs w:val="28"/>
        </w:rPr>
        <w:t xml:space="preserve">«</w:t>
      </w:r>
      <w:r>
        <w:rPr>
          <w:b/>
          <w:color w:val="000000"/>
          <w:sz w:val="28"/>
          <w:szCs w:val="28"/>
        </w:rPr>
        <w:t xml:space="preserve">Полигон</w:t>
      </w:r>
      <w:r>
        <w:rPr>
          <w:b/>
          <w:color w:val="000000"/>
          <w:sz w:val="28"/>
          <w:szCs w:val="28"/>
        </w:rPr>
        <w:t xml:space="preserve">», 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spacing w:line="240" w:lineRule="exac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подведомственному департаменту дорог и благоустройства 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spacing w:line="240" w:lineRule="exact"/>
        <w:shd w:val="clear" w:color="ffffff" w:themeColor="background1" w:fill="ffffff" w:themeFill="background1"/>
        <w:rPr>
          <w:b/>
          <w:bCs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администрации города Перми, на </w:t>
      </w:r>
      <w:r>
        <w:rPr>
          <w:b/>
          <w:sz w:val="28"/>
          <w:szCs w:val="28"/>
        </w:rPr>
        <w:t xml:space="preserve">оплату имущественных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shd w:val="clear" w:color="ffffff" w:themeColor="background1" w:fill="ffffff" w:themeFill="background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налогов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spacing w:line="240" w:lineRule="exac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I. Общие положения о предоставлении субсидий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hd w:val="clear" w:color="ffffff" w:themeColor="background1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1.1. Настоящий Порядок определяет объем и условия предоставления субсидий на иные цели муни</w:t>
      </w:r>
      <w:r>
        <w:rPr>
          <w:sz w:val="28"/>
          <w:szCs w:val="28"/>
        </w:rPr>
        <w:t xml:space="preserve">ципальному бюджетному учреждению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Полигон</w:t>
      </w:r>
      <w:r>
        <w:rPr>
          <w:sz w:val="28"/>
          <w:szCs w:val="28"/>
        </w:rPr>
        <w:t xml:space="preserve">», подведомственному департаменту дорог и благоустройства администрации города Перми, на уплату имущественных налогов, в качестве объектов налогообложения по которым признается недвижимое имущество и ос</w:t>
      </w:r>
      <w:r>
        <w:rPr>
          <w:sz w:val="28"/>
          <w:szCs w:val="28"/>
        </w:rPr>
        <w:t xml:space="preserve">обо ценное движимое имущество, закрепленное за муниципальным бюджетным учреждением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Полигон</w:t>
      </w:r>
      <w:r>
        <w:rPr>
          <w:sz w:val="28"/>
          <w:szCs w:val="28"/>
        </w:rPr>
        <w:t xml:space="preserve">», в отношении которого департамент дорог и благоустройства администрации города Перми осуществляет функции и полномочия учредителя (далее - Порядок, су</w:t>
      </w:r>
      <w:r>
        <w:rPr>
          <w:sz w:val="28"/>
          <w:szCs w:val="28"/>
        </w:rPr>
        <w:t xml:space="preserve">бсидии на иные цели, Департамент, Учреждение).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1.2. </w:t>
      </w:r>
      <w:r>
        <w:rPr>
          <w:sz w:val="28"/>
          <w:szCs w:val="28"/>
        </w:rPr>
        <w:t xml:space="preserve">Целью предоставления субсидий на иные цели является уплата имущественных налогов, в качестве объекта налогообложения по которым признается недвижимое имущество и особо ценное движимое имущество, закреплен</w:t>
      </w:r>
      <w:r>
        <w:rPr>
          <w:sz w:val="28"/>
          <w:szCs w:val="28"/>
        </w:rPr>
        <w:t xml:space="preserve">ное за муниципальным бюджетным учреждением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Полигон</w:t>
      </w:r>
      <w:r>
        <w:rPr>
          <w:sz w:val="28"/>
          <w:szCs w:val="28"/>
        </w:rPr>
        <w:t xml:space="preserve">» в рамках выполнения мероприятий муниципальной программы «Дорожная деятельность и благоустройство города Перми».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1.3. </w:t>
      </w:r>
      <w:r>
        <w:rPr>
          <w:sz w:val="28"/>
          <w:szCs w:val="28"/>
        </w:rPr>
        <w:t xml:space="preserve">Субсидии на иные цели предоставляются Учреждению в пределах бюджетных асс</w:t>
      </w:r>
      <w:r>
        <w:rPr>
          <w:sz w:val="28"/>
          <w:szCs w:val="28"/>
        </w:rPr>
        <w:t xml:space="preserve">игнований, утвержденных решением Пермской городской Думы о бюджете города Перми на соответствующий финансовый год и плановый период, в рамках реализации мероприятий муниципальной программы «Дорожная деятельность и благоустройство города Перми».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  <w:outlineLvl w:val="1"/>
      </w:pPr>
      <w:r>
        <w:rPr>
          <w:b/>
          <w:sz w:val="28"/>
          <w:szCs w:val="28"/>
        </w:rPr>
        <w:t xml:space="preserve">II. Условия и порядок предоставления субсидии</w:t>
      </w:r>
      <w:r>
        <w:rPr>
          <w:b/>
          <w:bCs/>
          <w:sz w:val="28"/>
          <w:szCs w:val="28"/>
        </w:rPr>
        <w:t xml:space="preserve"> на иные цели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Для получения субсидий на иные цели на соответствующий финансовый год Учреждение направляет в Департамент: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пояснительную записку, содержащую обоснование необходимости предоставления субсидий на иные цели, включая расчет-обоснование суммы субсидий на иные цели согласно приложению к настоящему Порядку;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документы, подтверждающие отсутствие у Учреждения задолженнос</w:t>
      </w:r>
      <w:r>
        <w:rPr>
          <w:sz w:val="28"/>
          <w:szCs w:val="28"/>
        </w:rPr>
        <w:t xml:space="preserve">ти по уплате налогов, сборов и иных обязательных платежей в бюджеты бюджетной системы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Рассмотрение и проверка документов на полноту их представления в соответствии с пунктом 2.1 настоящего Порядка осуществляется Департаментом в т</w:t>
      </w:r>
      <w:r>
        <w:rPr>
          <w:sz w:val="28"/>
          <w:szCs w:val="28"/>
        </w:rPr>
        <w:t xml:space="preserve">ечение 10 рабочих дней со дня их представления.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По состоянию на 01 число месяца, предшествующего месяцу, в котором планируется заключение соглашения о предоставлении субсидий на иные цели из бюджета города Перми, Учреждение должно соответствовать след</w:t>
      </w:r>
      <w:r>
        <w:rPr>
          <w:sz w:val="28"/>
          <w:szCs w:val="28"/>
        </w:rPr>
        <w:t xml:space="preserve">ующим требованиям: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просроченной задолженн</w:t>
      </w:r>
      <w:r>
        <w:rPr>
          <w:sz w:val="28"/>
          <w:szCs w:val="28"/>
        </w:rPr>
        <w:t xml:space="preserve">ости по возврату в бюджет города Перми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Основания для отказа Учреждению в предоставлении</w:t>
      </w:r>
      <w:r>
        <w:rPr>
          <w:sz w:val="28"/>
          <w:szCs w:val="28"/>
        </w:rPr>
        <w:t xml:space="preserve"> субсидий на иные цели: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представленных Учреждением документов требованиям, определенным в соответствии с пунктом 2.1 настоящего Порядка, или непредставление (представление не в полном объеме) указанных документов;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недостоверность информации,</w:t>
      </w:r>
      <w:r>
        <w:rPr>
          <w:sz w:val="28"/>
          <w:szCs w:val="28"/>
        </w:rPr>
        <w:t xml:space="preserve"> содержащейся в документах, представленных Учреждением в соответствии с пунктом 2.1 настоящего Порядка.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Размер субсидий на иные цели в разрезе учреждений устанавливается приказом начальника Департамента.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Субсидии на иные цели предоставляются Учре</w:t>
      </w:r>
      <w:r>
        <w:rPr>
          <w:sz w:val="28"/>
          <w:szCs w:val="28"/>
        </w:rPr>
        <w:t xml:space="preserve">ждению на основании соглашения о предоставлении субсидий на иные цели из бюджета города Перми на иные цели (далее - Соглашение), заключенного между Департаментом и Учреждением в соответствии с типовой формой, утвержденной распоряжением заместителя главы ад</w:t>
      </w:r>
      <w:r>
        <w:rPr>
          <w:sz w:val="28"/>
          <w:szCs w:val="28"/>
        </w:rPr>
        <w:t xml:space="preserve">министрации города Перми - начальника департамента финансов администрации города Перми (далее - типовая форма).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Соглашения осуществляется Департаментом не позднее 10 рабочих дней после рассмотрения и проверки документов, представленных в соответ</w:t>
      </w:r>
      <w:r>
        <w:rPr>
          <w:sz w:val="28"/>
          <w:szCs w:val="28"/>
        </w:rPr>
        <w:t xml:space="preserve">ствии с пунктом 2.1, при отсутствии оснований для отказа Учреждениям в предоставлении субсидий на иные цели.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Условиями заключения Соглашения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соответствие Учреждения требованиям, установленным пунктом 2.3 настоящего Порядка;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бюджетных</w:t>
      </w:r>
      <w:r>
        <w:rPr>
          <w:sz w:val="28"/>
          <w:szCs w:val="28"/>
        </w:rPr>
        <w:t xml:space="preserve"> ассигнований для предоставления субсидий на иные цели в решении Пермской городской Думы о бюджете города Перми на очередной финансовый год и плановый период и отражение соответствующего финансирования в муниципальной программе «Дорожная деятельность и бла</w:t>
      </w:r>
      <w:r>
        <w:rPr>
          <w:sz w:val="28"/>
          <w:szCs w:val="28"/>
        </w:rPr>
        <w:t xml:space="preserve">гоустройство города Перми».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В случаях, установленных Соглашением, заключаются дополнительные соглашения, предусматривающие внесение в него изменений или его расторжение, в соответствии с типовой формой.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внесении изменений в настоящий Порядок, муни</w:t>
      </w:r>
      <w:r>
        <w:rPr>
          <w:sz w:val="28"/>
          <w:szCs w:val="28"/>
        </w:rPr>
        <w:t xml:space="preserve">ципальную программу «</w:t>
      </w:r>
      <w:r>
        <w:rPr>
          <w:sz w:val="28"/>
          <w:szCs w:val="28"/>
        </w:rPr>
      </w:r>
      <w:r>
        <w:rPr>
          <w:sz w:val="28"/>
          <w:szCs w:val="28"/>
        </w:rPr>
        <w:t xml:space="preserve">Дорожная деятельность и бла</w:t>
      </w:r>
      <w:r>
        <w:rPr>
          <w:sz w:val="28"/>
          <w:szCs w:val="28"/>
        </w:rPr>
        <w:t xml:space="preserve">гоустройство города Перми</w:t>
      </w:r>
      <w:r/>
      <w:r>
        <w:rPr>
          <w:sz w:val="28"/>
          <w:szCs w:val="28"/>
        </w:rPr>
        <w:t xml:space="preserve">», требующих внесения изменений в Соглашение, дополнительные соглашения заключаются в течение 10 рабочих дней со дня вступления в силу изменений в указанные правовые акты.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2.9. Субсидии на иные цели п</w:t>
      </w:r>
      <w:r>
        <w:rPr>
          <w:sz w:val="28"/>
          <w:szCs w:val="28"/>
          <w:highlight w:val="white"/>
        </w:rPr>
        <w:t xml:space="preserve">еречисляются Учреждению в сроки, установленные Соглашением. Периодичность перечисления Учреждению субсидий на иные цели - ежеквартально.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2.11. Средства, предоставляемые Учреждению в виде субсидий на иные цели, расходуются в соответствии с их целевым назнач</w:t>
      </w:r>
      <w:r>
        <w:rPr>
          <w:sz w:val="28"/>
          <w:szCs w:val="28"/>
          <w:highlight w:val="white"/>
        </w:rPr>
        <w:t xml:space="preserve">ением и не могут быть направлены на другие цели.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2.12. Субсидии на иные цели Учреждению предоставляются путем перечисления Департаментом денежных средств на отдельный лицевой счет Учреждения, открытый в департаменте финансов администрации города Перми, в у</w:t>
      </w:r>
      <w:r>
        <w:rPr>
          <w:sz w:val="28"/>
          <w:szCs w:val="28"/>
          <w:highlight w:val="white"/>
        </w:rPr>
        <w:t xml:space="preserve">становленном порядке.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Ведение бухгалтерского учета по предоставленным субсидиям на иные цели осуществляется с применением аналитических кодов счетов бухгалтерского учета.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2.13. Результатом предоставления субсидий на иные цели является, уплата имущественных</w:t>
      </w:r>
      <w:r>
        <w:rPr>
          <w:sz w:val="28"/>
          <w:szCs w:val="28"/>
          <w:highlight w:val="white"/>
        </w:rPr>
        <w:t xml:space="preserve"> налогов в рамках мероприятий муниципальной программы «Дорожная деятельность и благоустройство города Перми».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мероприятий по достижению результата предоставления субсидий на иные цели устанавливается Соглашением.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III. Требования к отчетности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Уч</w:t>
      </w:r>
      <w:r>
        <w:rPr>
          <w:sz w:val="28"/>
          <w:szCs w:val="28"/>
        </w:rPr>
        <w:t xml:space="preserve">реждение по форме и в сроки, установленные в Соглашении, представляет в Департамент следующие отчеты (далее - Отчеты):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расходах, источником финансового обеспечения которых являются субсидии на иные цели;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достижении значений результатов предоставления субсидии на иные цели;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реализации плана мероприятий по достижению результатов предоставления субсидии на иные цели.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Отчеты предоставляются Учреждением не позднее 15 января года, следующего</w:t>
      </w:r>
      <w:r>
        <w:rPr>
          <w:sz w:val="28"/>
          <w:szCs w:val="28"/>
        </w:rPr>
        <w:t xml:space="preserve"> за отчетным.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Ответственность за своевременность представления Отчетов и достоверность отчетных данных возлагается на директора Учреждения.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Департамент имеет право устанавливать в Соглашении формы предоставления Учреждением дополнительной отчетно</w:t>
      </w:r>
      <w:r>
        <w:rPr>
          <w:sz w:val="28"/>
          <w:szCs w:val="28"/>
        </w:rPr>
        <w:t xml:space="preserve">сти и сроки их представления.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IV. Порядок осуществления контроля (мониторинга) за соблюдением целей, условий и порядка предоставления субсидий на иные цели и ответственность за их несоблюдение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Департамент и орган муниципального финансового контроля</w:t>
      </w:r>
      <w:r>
        <w:rPr>
          <w:sz w:val="28"/>
          <w:szCs w:val="28"/>
        </w:rPr>
        <w:t xml:space="preserve"> осуществляют обязательную проверку соблюдения целей и условий предоставления Учреждению субсидий на иные цели.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 осуществляет мониторинг достижения значений результатов предоставления субсидий на иные цели, определенных в Соглашении, и событий,</w:t>
      </w:r>
      <w:r>
        <w:rPr>
          <w:sz w:val="28"/>
          <w:szCs w:val="28"/>
        </w:rPr>
        <w:t xml:space="preserve"> отражающих факт завершения соответствующего мероприятия по получению результата предоставления субсидий на иные цели (контрольная точка) в порядке и по формам, которые установлены порядком проведения  мониторинга достижения  результатов предоставления суб</w:t>
      </w:r>
      <w:r>
        <w:rPr>
          <w:sz w:val="28"/>
          <w:szCs w:val="28"/>
        </w:rPr>
        <w:t xml:space="preserve">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 работ, услуг, утвержденным приказом Министерства финансов Российско</w:t>
      </w:r>
      <w:r>
        <w:rPr>
          <w:sz w:val="28"/>
          <w:szCs w:val="28"/>
        </w:rPr>
        <w:t xml:space="preserve">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Учреждение несет ответственность за несоблюдение целей и условий предоставления субсидий на иные цели, установленных настоящим Порядком и Соглашением, в соответствии с действующим законодательством.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В случае несоблюдения Учреждением </w:t>
      </w:r>
      <w:r>
        <w:rPr>
          <w:sz w:val="28"/>
          <w:szCs w:val="28"/>
        </w:rPr>
        <w:t xml:space="preserve">целей и условий, установленных при предоставлении субсидий на иные цели, выявленного по результатам проверок, проведенных Департаментом и органом муниципального финансового контроля, данные средства подлежат возврату в бюджет города Перми в следующие сроки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требования Департамента - в течение 30 календарных дней со дня получения Учреждениями соответствующего требования;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представления и (или) предписания органа муниципального финансового контроля - в срок, установленный в соответствии с бюджетным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невыполнения Учреждением требования о возврате субсидий на иные це</w:t>
      </w:r>
      <w:r>
        <w:rPr>
          <w:sz w:val="28"/>
          <w:szCs w:val="28"/>
        </w:rPr>
        <w:t xml:space="preserve">ли Департамент обеспечивает взыскание субсидий на иные цели в судебном порядке в соответствии с действующим законодательством.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В случае недостижения результата предоставления субсидий на иные цели, установленного пунктом 2.13 настоящего Порядка, субси</w:t>
      </w:r>
      <w:r>
        <w:rPr>
          <w:sz w:val="28"/>
          <w:szCs w:val="28"/>
        </w:rPr>
        <w:t xml:space="preserve">дии на иные цели подлежат возврату в доход бюджета города Перми в течение 10 рабочих дней со дня выявления указанного недостижения.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Остатки субсидий на иные цели по состоянию на 01 января очередного финансового года, не использованные Учреждением в те</w:t>
      </w:r>
      <w:r>
        <w:rPr>
          <w:sz w:val="28"/>
          <w:szCs w:val="28"/>
        </w:rPr>
        <w:t xml:space="preserve">кущем финансовом году, подлежат перечислению Учреждением в доход бюджета города Перми не позднее первых 4 рабочих дней очередного финансового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Остатки субсидий на иные цели, перечисленные Учреждением в доход бюджета города Перми, возвращаются Учрежден</w:t>
      </w:r>
      <w:r>
        <w:rPr>
          <w:sz w:val="28"/>
          <w:szCs w:val="28"/>
        </w:rPr>
        <w:t xml:space="preserve">ию в очередном финансовом году при наличии потребности в направлении их на те же цели на основании запроса Учреждения в соответствии с решением Департамента, оформленным приказом начальника Департамента.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 возврате остатков субсидий на иные цели пр</w:t>
      </w:r>
      <w:r>
        <w:rPr>
          <w:sz w:val="28"/>
          <w:szCs w:val="28"/>
        </w:rPr>
        <w:t xml:space="preserve">инимается Департаментом по итогам рассмотрения запроса Учреждения, представленного в </w:t>
      </w:r>
      <w:r>
        <w:rPr>
          <w:sz w:val="28"/>
          <w:szCs w:val="28"/>
        </w:rPr>
        <w:t xml:space="preserve">Департамент до 05 февраля текущего года и отражающего причины образования неиспользованных остатков и необходимости их использования в текущем финансовом году, с приложени</w:t>
      </w:r>
      <w:r>
        <w:rPr>
          <w:sz w:val="28"/>
          <w:szCs w:val="28"/>
        </w:rPr>
        <w:t xml:space="preserve">ем документов (копий документов), подтверждающих наличие и объем неисполненных обязательств, принятых до начала текущего финансового года либо подлежащих принятию в текущем финансовом году.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принимает решение о возврате остатков субсидий на иные</w:t>
      </w:r>
      <w:r>
        <w:rPr>
          <w:sz w:val="28"/>
          <w:szCs w:val="28"/>
        </w:rPr>
        <w:t xml:space="preserve"> цели в течение 20 рабочих дней с момента поступления указанной в абзаце третьем настоящего пункта информации, но не позднее 20 мая текущего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Учреждением не обоснована потребность в направлении остатков субсидий на иные цели, они считают</w:t>
      </w:r>
      <w:r>
        <w:rPr>
          <w:sz w:val="28"/>
          <w:szCs w:val="28"/>
        </w:rPr>
        <w:t xml:space="preserve">ся неподтвержденными и не подлежат возврату Учреждению.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неиспользованные остатки субсидий на иные цели не перечислены Учреждением в доход бюджета города Перми в сроки, установленные абзацем первым настоящего пункта, то они подлежат взысканию </w:t>
      </w:r>
      <w:r>
        <w:rPr>
          <w:sz w:val="28"/>
          <w:szCs w:val="28"/>
        </w:rPr>
        <w:t xml:space="preserve">в установленном действующим законодательством порядке.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В случае поступления средств от возврата ранее произведенных Учреждением выплат, источником финансового обеспечения которых являются субсидии на иные цели, для достижения целей, установленных при </w:t>
      </w:r>
      <w:r>
        <w:rPr>
          <w:sz w:val="28"/>
          <w:szCs w:val="28"/>
        </w:rPr>
        <w:t xml:space="preserve">предоставлении субсидий на иные цели, Департамент в течение 30 рабочих дней с момента их поступления принимает решение об использовании в текущем финансовом году указанных средств путем издания соответствующего приказа об использовании в текущем финансов г</w:t>
      </w:r>
      <w:r>
        <w:rPr>
          <w:sz w:val="28"/>
          <w:szCs w:val="28"/>
        </w:rPr>
        <w:t xml:space="preserve">оду указанных средств.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Департамента об использовании в текущем финансовом году указанных средств принимается при наличии потребности Учреждения по итогам рассмотрения запроса, представленного Учреждением в Департамент в течение 30 рабочих дней с мо</w:t>
      </w:r>
      <w:r>
        <w:rPr>
          <w:sz w:val="28"/>
          <w:szCs w:val="28"/>
        </w:rPr>
        <w:t xml:space="preserve">мента поступления средств в Учреждение и отражающего необходимость их использования в текущем финансовом году, с приложением документов (копий документов), подтверждающих наличие и объем неисполненных обязательств, принятых до начала текущего финансового г</w:t>
      </w:r>
      <w:r>
        <w:rPr>
          <w:sz w:val="28"/>
          <w:szCs w:val="28"/>
        </w:rPr>
        <w:t xml:space="preserve">ода либо подлежащих принятию в текущем финансовом году.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Порядку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определения объема и условий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субсидий на иные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цели муниципальному бюджетному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учреждению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Полигон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подведомственному департаменту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дорог и благоустройства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Перми,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87"/>
        <w:jc w:val="both"/>
        <w:rPr>
          <w:sz w:val="28"/>
          <w:szCs w:val="28"/>
        </w:rPr>
      </w:pPr>
      <w:r/>
      <w:bookmarkStart w:id="3" w:name="_Hlk211007241"/>
      <w:r>
        <w:rPr>
          <w:sz w:val="28"/>
          <w:szCs w:val="28"/>
        </w:rPr>
        <w:t xml:space="preserve">на уплату имущественных налогов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8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РАСЧЕТ-ОБОСНОВАНИЕ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38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суммы субсидий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218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993"/>
        <w:gridCol w:w="851"/>
        <w:gridCol w:w="994"/>
        <w:gridCol w:w="850"/>
        <w:gridCol w:w="1136"/>
        <w:gridCol w:w="993"/>
        <w:gridCol w:w="994"/>
        <w:gridCol w:w="993"/>
        <w:gridCol w:w="1135"/>
        <w:gridCol w:w="993"/>
      </w:tblGrid>
      <w:tr>
        <w:tblPrEx/>
        <w:trPr>
          <w:trHeight w:val="286"/>
        </w:trPr>
        <w:tc>
          <w:tcPr>
            <w:tcW w:w="42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пп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налога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269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312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312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48"/>
        </w:trPr>
        <w:tc>
          <w:tcPr>
            <w:tcW w:w="42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Налоговая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база,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Налоговая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ставка, 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Сумма, </w:t>
            </w:r>
            <w:r>
              <w:rPr>
                <w:sz w:val="24"/>
                <w:szCs w:val="24"/>
              </w:rPr>
              <w:br/>
              <w:t xml:space="preserve">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Налоговая база,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Налоговая ставка, 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Сумма, </w:t>
            </w:r>
            <w:r>
              <w:rPr>
                <w:sz w:val="24"/>
                <w:szCs w:val="24"/>
              </w:rPr>
              <w:br/>
              <w:t xml:space="preserve">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Налоговая база,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Налоговая ставка, 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Сумма, </w:t>
            </w:r>
            <w:r>
              <w:rPr>
                <w:sz w:val="24"/>
                <w:szCs w:val="24"/>
              </w:rPr>
              <w:br/>
              <w:t xml:space="preserve">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tcW w:w="42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 не имеет задолженности по уплате налогов, сборов, страховых взносов, пеней, штрафов, процентов, подлежащих уплате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законодательством Российской Федерации о налогах и сборах.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 не имеет задолженности по возврату в бюджет города Перми субсидий, бюджетных инвестиций, предоставленных в том числе в соответствии </w:t>
      </w:r>
      <w:r>
        <w:rPr>
          <w:sz w:val="28"/>
          <w:szCs w:val="28"/>
        </w:rPr>
        <w:br/>
        <w:t xml:space="preserve">с иными правовыми актами, и иной просроченной задол</w:t>
      </w:r>
      <w:r>
        <w:rPr>
          <w:sz w:val="28"/>
          <w:szCs w:val="28"/>
        </w:rPr>
        <w:t xml:space="preserve">женности перед бюджетом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714"/>
        <w:gridCol w:w="2635"/>
        <w:gridCol w:w="3572"/>
      </w:tblGrid>
      <w:tr>
        <w:tblPrEx/>
        <w:trPr/>
        <w:tc>
          <w:tcPr>
            <w:tcW w:w="371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учреждения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35" w:type="dxa"/>
            <w:vAlign w:val="bottom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714" w:type="dxa"/>
            <w:vAlign w:val="bottom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3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(подпись)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(расшифровка)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992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«______» ____________________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71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35" w:type="dxa"/>
            <w:vAlign w:val="bottom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7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714" w:type="dxa"/>
            <w:vAlign w:val="bottom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35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(подпись)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57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(расшифровка)</w:t>
            </w:r>
            <w:bookmarkEnd w:id="3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tabs>
          <w:tab w:val="right" w:pos="97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notePr/>
      <w:endnotePr/>
      <w:type w:val="nextPage"/>
      <w:pgSz w:w="11906" w:h="16838" w:orient="portrait"/>
      <w:pgMar w:top="1134" w:right="567" w:bottom="1134" w:left="1418" w:header="709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3020204020204"/>
  </w:font>
  <w:font w:name="Arial">
    <w:panose1 w:val="020B0604020202020204"/>
  </w:font>
  <w:font w:name="Tahoma">
    <w:panose1 w:val="020B0604030504040204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9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0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/>
  </w:p>
  <w:p>
    <w:pPr>
      <w:pStyle w:val="95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6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5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0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5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950"/>
                            <w:rPr>
                              <w:rStyle w:val="919"/>
                            </w:rPr>
                          </w:pPr>
                          <w:r>
                            <w:rPr>
                              <w:rStyle w:val="919"/>
                            </w:rPr>
                            <w:fldChar w:fldCharType="begin"/>
                          </w:r>
                          <w:r>
                            <w:rPr>
                              <w:rStyle w:val="919"/>
                            </w:rPr>
                            <w:instrText xml:space="preserve"> PAGE </w:instrText>
                          </w:r>
                          <w:r>
                            <w:rPr>
                              <w:rStyle w:val="919"/>
                            </w:rPr>
                            <w:fldChar w:fldCharType="separate"/>
                          </w:r>
                          <w:r>
                            <w:rPr>
                              <w:rStyle w:val="919"/>
                            </w:rPr>
                            <w:t xml:space="preserve">0</w:t>
                          </w:r>
                          <w:r>
                            <w:rPr>
                              <w:rStyle w:val="919"/>
                            </w:rPr>
                            <w:fldChar w:fldCharType="end"/>
                          </w:r>
                          <w:r>
                            <w:rPr>
                              <w:rStyle w:val="919"/>
                            </w:rPr>
                          </w:r>
                          <w:r>
                            <w:rPr>
                              <w:rStyle w:val="919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8240;o:allowoverlap:true;o:allowincell:true;mso-position-horizontal-relative:margin;mso-position-horizontal:center;mso-position-vertical-relative:text;margin-top:0.05pt;mso-position-vertical:absolute;width:1.15pt;height:1.1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950"/>
                      <w:rPr>
                        <w:rStyle w:val="919"/>
                      </w:rPr>
                    </w:pPr>
                    <w:r>
                      <w:rPr>
                        <w:rStyle w:val="919"/>
                      </w:rPr>
                      <w:fldChar w:fldCharType="begin"/>
                    </w:r>
                    <w:r>
                      <w:rPr>
                        <w:rStyle w:val="919"/>
                      </w:rPr>
                      <w:instrText xml:space="preserve"> PAGE </w:instrText>
                    </w:r>
                    <w:r>
                      <w:rPr>
                        <w:rStyle w:val="919"/>
                      </w:rPr>
                      <w:fldChar w:fldCharType="separate"/>
                    </w:r>
                    <w:r>
                      <w:rPr>
                        <w:rStyle w:val="919"/>
                      </w:rPr>
                      <w:t xml:space="preserve">0</w:t>
                    </w:r>
                    <w:r>
                      <w:rPr>
                        <w:rStyle w:val="919"/>
                      </w:rPr>
                      <w:fldChar w:fldCharType="end"/>
                    </w:r>
                    <w:r>
                      <w:rPr>
                        <w:rStyle w:val="919"/>
                      </w:rPr>
                    </w:r>
                    <w:r>
                      <w:rPr>
                        <w:rStyle w:val="919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Lohit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6">
    <w:name w:val="Caption Char"/>
    <w:basedOn w:val="929"/>
    <w:link w:val="949"/>
    <w:uiPriority w:val="99"/>
  </w:style>
  <w:style w:type="paragraph" w:styleId="757" w:default="1">
    <w:name w:val="Normal"/>
    <w:qFormat/>
  </w:style>
  <w:style w:type="paragraph" w:styleId="758">
    <w:name w:val="Heading 1"/>
    <w:basedOn w:val="757"/>
    <w:qFormat/>
    <w:pPr>
      <w:ind w:right="-1" w:firstLine="709"/>
      <w:jc w:val="both"/>
      <w:keepNext/>
      <w:outlineLvl w:val="0"/>
    </w:pPr>
    <w:rPr>
      <w:sz w:val="24"/>
    </w:rPr>
  </w:style>
  <w:style w:type="paragraph" w:styleId="759">
    <w:name w:val="Heading 2"/>
    <w:basedOn w:val="757"/>
    <w:qFormat/>
    <w:pPr>
      <w:ind w:right="-1"/>
      <w:jc w:val="both"/>
      <w:keepNext/>
      <w:outlineLvl w:val="1"/>
    </w:pPr>
    <w:rPr>
      <w:sz w:val="24"/>
    </w:rPr>
  </w:style>
  <w:style w:type="paragraph" w:styleId="760">
    <w:name w:val="Heading 3"/>
    <w:basedOn w:val="7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61">
    <w:name w:val="Heading 4"/>
    <w:basedOn w:val="75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2">
    <w:name w:val="Heading 5"/>
    <w:basedOn w:val="75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3">
    <w:name w:val="Heading 6"/>
    <w:basedOn w:val="75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4">
    <w:name w:val="Heading 7"/>
    <w:basedOn w:val="7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5">
    <w:name w:val="Heading 8"/>
    <w:basedOn w:val="7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6">
    <w:name w:val="Heading 9"/>
    <w:basedOn w:val="7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7" w:default="1">
    <w:name w:val="Default Paragraph Font"/>
    <w:uiPriority w:val="1"/>
    <w:semiHidden/>
    <w:unhideWhenUsed/>
  </w:style>
  <w:style w:type="table" w:styleId="7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9" w:default="1">
    <w:name w:val="No List"/>
    <w:uiPriority w:val="99"/>
    <w:semiHidden/>
    <w:unhideWhenUsed/>
  </w:style>
  <w:style w:type="character" w:styleId="770" w:customStyle="1">
    <w:name w:val="Нижний колонтитул Знак1"/>
    <w:link w:val="949"/>
    <w:uiPriority w:val="99"/>
  </w:style>
  <w:style w:type="table" w:styleId="771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6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7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8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9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0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1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2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3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4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5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6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7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8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9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97" w:customStyle="1">
    <w:name w:val="Heading 1 Char"/>
    <w:basedOn w:val="767"/>
    <w:uiPriority w:val="9"/>
    <w:qFormat/>
    <w:rPr>
      <w:rFonts w:ascii="Arial" w:hAnsi="Arial" w:eastAsia="Arial" w:cs="Arial"/>
      <w:sz w:val="40"/>
      <w:szCs w:val="40"/>
    </w:rPr>
  </w:style>
  <w:style w:type="character" w:styleId="898" w:customStyle="1">
    <w:name w:val="Heading 2 Char"/>
    <w:basedOn w:val="767"/>
    <w:uiPriority w:val="9"/>
    <w:qFormat/>
    <w:rPr>
      <w:rFonts w:ascii="Arial" w:hAnsi="Arial" w:eastAsia="Arial" w:cs="Arial"/>
      <w:sz w:val="34"/>
    </w:rPr>
  </w:style>
  <w:style w:type="character" w:styleId="899" w:customStyle="1">
    <w:name w:val="Heading 3 Char"/>
    <w:basedOn w:val="767"/>
    <w:uiPriority w:val="9"/>
    <w:qFormat/>
    <w:rPr>
      <w:rFonts w:ascii="Arial" w:hAnsi="Arial" w:eastAsia="Arial" w:cs="Arial"/>
      <w:sz w:val="30"/>
      <w:szCs w:val="30"/>
    </w:rPr>
  </w:style>
  <w:style w:type="character" w:styleId="900" w:customStyle="1">
    <w:name w:val="Heading 4 Char"/>
    <w:basedOn w:val="767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901" w:customStyle="1">
    <w:name w:val="Heading 5 Char"/>
    <w:basedOn w:val="767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902" w:customStyle="1">
    <w:name w:val="Heading 6 Char"/>
    <w:basedOn w:val="767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903" w:customStyle="1">
    <w:name w:val="Heading 7 Char"/>
    <w:basedOn w:val="76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904" w:customStyle="1">
    <w:name w:val="Heading 8 Char"/>
    <w:basedOn w:val="767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05" w:customStyle="1">
    <w:name w:val="Heading 9 Char"/>
    <w:basedOn w:val="767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906" w:customStyle="1">
    <w:name w:val="Title Char"/>
    <w:basedOn w:val="767"/>
    <w:uiPriority w:val="10"/>
    <w:qFormat/>
    <w:rPr>
      <w:sz w:val="48"/>
      <w:szCs w:val="48"/>
    </w:rPr>
  </w:style>
  <w:style w:type="character" w:styleId="907" w:customStyle="1">
    <w:name w:val="Subtitle Char"/>
    <w:basedOn w:val="767"/>
    <w:uiPriority w:val="11"/>
    <w:qFormat/>
    <w:rPr>
      <w:sz w:val="24"/>
      <w:szCs w:val="24"/>
    </w:rPr>
  </w:style>
  <w:style w:type="character" w:styleId="908" w:customStyle="1">
    <w:name w:val="Quote Char"/>
    <w:uiPriority w:val="29"/>
    <w:qFormat/>
    <w:rPr>
      <w:i/>
    </w:rPr>
  </w:style>
  <w:style w:type="character" w:styleId="909" w:customStyle="1">
    <w:name w:val="Intense Quote Char"/>
    <w:uiPriority w:val="30"/>
    <w:qFormat/>
    <w:rPr>
      <w:i/>
    </w:rPr>
  </w:style>
  <w:style w:type="character" w:styleId="910" w:customStyle="1">
    <w:name w:val="Header Char"/>
    <w:basedOn w:val="767"/>
    <w:uiPriority w:val="99"/>
    <w:qFormat/>
  </w:style>
  <w:style w:type="character" w:styleId="911" w:customStyle="1">
    <w:name w:val="Footer Char"/>
    <w:basedOn w:val="767"/>
    <w:uiPriority w:val="99"/>
    <w:qFormat/>
  </w:style>
  <w:style w:type="character" w:styleId="912" w:customStyle="1">
    <w:name w:val="Название объекта Знак"/>
    <w:link w:val="929"/>
    <w:uiPriority w:val="99"/>
    <w:qFormat/>
  </w:style>
  <w:style w:type="character" w:styleId="913" w:customStyle="1">
    <w:name w:val="Footnote Text Char"/>
    <w:uiPriority w:val="99"/>
    <w:qFormat/>
    <w:rPr>
      <w:sz w:val="18"/>
    </w:rPr>
  </w:style>
  <w:style w:type="character" w:styleId="914" w:customStyle="1">
    <w:name w:val="Символ сноски"/>
    <w:uiPriority w:val="99"/>
    <w:unhideWhenUsed/>
    <w:qFormat/>
    <w:rPr>
      <w:vertAlign w:val="superscript"/>
    </w:rPr>
  </w:style>
  <w:style w:type="character" w:styleId="915">
    <w:name w:val="footnote reference"/>
    <w:rPr>
      <w:vertAlign w:val="superscript"/>
    </w:rPr>
  </w:style>
  <w:style w:type="character" w:styleId="916" w:customStyle="1">
    <w:name w:val="Endnote Text Char"/>
    <w:uiPriority w:val="99"/>
    <w:qFormat/>
    <w:rPr>
      <w:sz w:val="20"/>
    </w:rPr>
  </w:style>
  <w:style w:type="character" w:styleId="917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918">
    <w:name w:val="endnote reference"/>
    <w:rPr>
      <w:vertAlign w:val="superscript"/>
    </w:rPr>
  </w:style>
  <w:style w:type="character" w:styleId="919">
    <w:name w:val="page number"/>
    <w:basedOn w:val="767"/>
    <w:qFormat/>
  </w:style>
  <w:style w:type="character" w:styleId="920" w:customStyle="1">
    <w:name w:val="Текст выноски Знак"/>
    <w:uiPriority w:val="99"/>
    <w:qFormat/>
    <w:rPr>
      <w:rFonts w:ascii="Segoe UI" w:hAnsi="Segoe UI" w:cs="Segoe UI"/>
      <w:sz w:val="18"/>
      <w:szCs w:val="18"/>
    </w:rPr>
  </w:style>
  <w:style w:type="character" w:styleId="921" w:customStyle="1">
    <w:name w:val="Верхний колонтитул Знак"/>
    <w:uiPriority w:val="99"/>
    <w:qFormat/>
  </w:style>
  <w:style w:type="character" w:styleId="922">
    <w:name w:val="Hyperlink"/>
    <w:uiPriority w:val="99"/>
    <w:unhideWhenUsed/>
    <w:rPr>
      <w:color w:val="0000ff"/>
      <w:u w:val="single"/>
    </w:rPr>
  </w:style>
  <w:style w:type="character" w:styleId="923">
    <w:name w:val="FollowedHyperlink"/>
    <w:uiPriority w:val="99"/>
    <w:unhideWhenUsed/>
    <w:rPr>
      <w:color w:val="800080"/>
      <w:u w:val="single"/>
    </w:rPr>
  </w:style>
  <w:style w:type="character" w:styleId="924" w:customStyle="1">
    <w:name w:val="Основной текст Знак"/>
    <w:qFormat/>
    <w:rPr>
      <w:rFonts w:ascii="Courier New" w:hAnsi="Courier New"/>
      <w:sz w:val="26"/>
    </w:rPr>
  </w:style>
  <w:style w:type="character" w:styleId="925" w:customStyle="1">
    <w:name w:val="Нижний колонтитул Знак"/>
    <w:uiPriority w:val="99"/>
    <w:qFormat/>
  </w:style>
  <w:style w:type="paragraph" w:styleId="926">
    <w:name w:val="Title"/>
    <w:basedOn w:val="757"/>
    <w:next w:val="92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927">
    <w:name w:val="Body Text"/>
    <w:basedOn w:val="757"/>
    <w:pPr>
      <w:ind w:right="3117"/>
    </w:pPr>
    <w:rPr>
      <w:rFonts w:ascii="Courier New" w:hAnsi="Courier New"/>
      <w:sz w:val="26"/>
    </w:rPr>
  </w:style>
  <w:style w:type="paragraph" w:styleId="928">
    <w:name w:val="List"/>
    <w:basedOn w:val="927"/>
  </w:style>
  <w:style w:type="paragraph" w:styleId="929">
    <w:name w:val="Caption"/>
    <w:basedOn w:val="757"/>
    <w:link w:val="912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30">
    <w:name w:val="index heading"/>
    <w:basedOn w:val="926"/>
  </w:style>
  <w:style w:type="paragraph" w:styleId="931">
    <w:name w:val="Subtitle"/>
    <w:basedOn w:val="757"/>
    <w:uiPriority w:val="11"/>
    <w:qFormat/>
    <w:pPr>
      <w:spacing w:before="200" w:after="200"/>
    </w:pPr>
    <w:rPr>
      <w:sz w:val="24"/>
      <w:szCs w:val="24"/>
    </w:rPr>
  </w:style>
  <w:style w:type="paragraph" w:styleId="932">
    <w:name w:val="Quote"/>
    <w:basedOn w:val="757"/>
    <w:uiPriority w:val="29"/>
    <w:qFormat/>
    <w:pPr>
      <w:ind w:left="720" w:right="720"/>
    </w:pPr>
    <w:rPr>
      <w:i/>
    </w:rPr>
  </w:style>
  <w:style w:type="paragraph" w:styleId="933">
    <w:name w:val="Intense Quote"/>
    <w:basedOn w:val="75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34">
    <w:name w:val="footnote text"/>
    <w:basedOn w:val="757"/>
    <w:uiPriority w:val="99"/>
    <w:semiHidden/>
    <w:unhideWhenUsed/>
    <w:pPr>
      <w:spacing w:after="40"/>
    </w:pPr>
    <w:rPr>
      <w:sz w:val="18"/>
    </w:rPr>
  </w:style>
  <w:style w:type="paragraph" w:styleId="935">
    <w:name w:val="endnote text"/>
    <w:basedOn w:val="757"/>
    <w:uiPriority w:val="99"/>
    <w:semiHidden/>
    <w:unhideWhenUsed/>
  </w:style>
  <w:style w:type="paragraph" w:styleId="936">
    <w:name w:val="toc 1"/>
    <w:basedOn w:val="757"/>
    <w:uiPriority w:val="39"/>
    <w:unhideWhenUsed/>
    <w:pPr>
      <w:spacing w:after="57"/>
    </w:pPr>
  </w:style>
  <w:style w:type="paragraph" w:styleId="937">
    <w:name w:val="toc 2"/>
    <w:basedOn w:val="757"/>
    <w:uiPriority w:val="39"/>
    <w:unhideWhenUsed/>
    <w:pPr>
      <w:ind w:left="283"/>
      <w:spacing w:after="57"/>
    </w:pPr>
  </w:style>
  <w:style w:type="paragraph" w:styleId="938">
    <w:name w:val="toc 3"/>
    <w:basedOn w:val="757"/>
    <w:uiPriority w:val="39"/>
    <w:unhideWhenUsed/>
    <w:pPr>
      <w:ind w:left="567"/>
      <w:spacing w:after="57"/>
    </w:pPr>
  </w:style>
  <w:style w:type="paragraph" w:styleId="939">
    <w:name w:val="toc 4"/>
    <w:basedOn w:val="757"/>
    <w:uiPriority w:val="39"/>
    <w:unhideWhenUsed/>
    <w:pPr>
      <w:ind w:left="850"/>
      <w:spacing w:after="57"/>
    </w:pPr>
  </w:style>
  <w:style w:type="paragraph" w:styleId="940">
    <w:name w:val="toc 5"/>
    <w:basedOn w:val="757"/>
    <w:uiPriority w:val="39"/>
    <w:unhideWhenUsed/>
    <w:pPr>
      <w:ind w:left="1134"/>
      <w:spacing w:after="57"/>
    </w:pPr>
  </w:style>
  <w:style w:type="paragraph" w:styleId="941">
    <w:name w:val="toc 6"/>
    <w:basedOn w:val="757"/>
    <w:uiPriority w:val="39"/>
    <w:unhideWhenUsed/>
    <w:pPr>
      <w:ind w:left="1417"/>
      <w:spacing w:after="57"/>
    </w:pPr>
  </w:style>
  <w:style w:type="paragraph" w:styleId="942">
    <w:name w:val="toc 7"/>
    <w:basedOn w:val="757"/>
    <w:uiPriority w:val="39"/>
    <w:unhideWhenUsed/>
    <w:pPr>
      <w:ind w:left="1701"/>
      <w:spacing w:after="57"/>
    </w:pPr>
  </w:style>
  <w:style w:type="paragraph" w:styleId="943">
    <w:name w:val="toc 8"/>
    <w:basedOn w:val="757"/>
    <w:uiPriority w:val="39"/>
    <w:unhideWhenUsed/>
    <w:pPr>
      <w:ind w:left="1984"/>
      <w:spacing w:after="57"/>
    </w:pPr>
  </w:style>
  <w:style w:type="paragraph" w:styleId="944">
    <w:name w:val="toc 9"/>
    <w:basedOn w:val="757"/>
    <w:uiPriority w:val="39"/>
    <w:unhideWhenUsed/>
    <w:pPr>
      <w:ind w:left="2268"/>
      <w:spacing w:after="57"/>
    </w:pPr>
  </w:style>
  <w:style w:type="paragraph" w:styleId="945">
    <w:name w:val="TOC Heading"/>
    <w:uiPriority w:val="39"/>
    <w:unhideWhenUsed/>
    <w:qFormat/>
  </w:style>
  <w:style w:type="paragraph" w:styleId="946">
    <w:name w:val="table of figures"/>
    <w:basedOn w:val="757"/>
    <w:uiPriority w:val="99"/>
    <w:unhideWhenUsed/>
  </w:style>
  <w:style w:type="paragraph" w:styleId="947">
    <w:name w:val="Body Text Indent"/>
    <w:basedOn w:val="757"/>
    <w:pPr>
      <w:ind w:right="-1"/>
      <w:jc w:val="both"/>
    </w:pPr>
    <w:rPr>
      <w:sz w:val="26"/>
    </w:rPr>
  </w:style>
  <w:style w:type="paragraph" w:styleId="948" w:customStyle="1">
    <w:name w:val="Колонтитул"/>
    <w:basedOn w:val="757"/>
    <w:qFormat/>
  </w:style>
  <w:style w:type="paragraph" w:styleId="949">
    <w:name w:val="Footer"/>
    <w:basedOn w:val="757"/>
    <w:link w:val="770"/>
    <w:uiPriority w:val="99"/>
    <w:pPr>
      <w:tabs>
        <w:tab w:val="center" w:pos="4153" w:leader="none"/>
        <w:tab w:val="right" w:pos="8306" w:leader="none"/>
      </w:tabs>
    </w:pPr>
  </w:style>
  <w:style w:type="paragraph" w:styleId="950">
    <w:name w:val="Header"/>
    <w:basedOn w:val="757"/>
    <w:uiPriority w:val="99"/>
    <w:pPr>
      <w:tabs>
        <w:tab w:val="center" w:pos="4153" w:leader="none"/>
        <w:tab w:val="right" w:pos="8306" w:leader="none"/>
      </w:tabs>
    </w:pPr>
  </w:style>
  <w:style w:type="paragraph" w:styleId="951">
    <w:name w:val="Balloon Text"/>
    <w:basedOn w:val="757"/>
    <w:uiPriority w:val="99"/>
    <w:qFormat/>
    <w:rPr>
      <w:rFonts w:ascii="Segoe UI" w:hAnsi="Segoe UI" w:cs="Segoe UI"/>
      <w:sz w:val="18"/>
      <w:szCs w:val="18"/>
    </w:rPr>
  </w:style>
  <w:style w:type="paragraph" w:styleId="952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953" w:customStyle="1">
    <w:name w:val="xl65"/>
    <w:basedOn w:val="757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4" w:customStyle="1">
    <w:name w:val="xl66"/>
    <w:basedOn w:val="757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5" w:customStyle="1">
    <w:name w:val="xl67"/>
    <w:basedOn w:val="757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68"/>
    <w:basedOn w:val="757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57" w:customStyle="1">
    <w:name w:val="xl69"/>
    <w:basedOn w:val="757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8" w:customStyle="1">
    <w:name w:val="xl70"/>
    <w:basedOn w:val="757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59" w:customStyle="1">
    <w:name w:val="xl71"/>
    <w:basedOn w:val="757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0" w:customStyle="1">
    <w:name w:val="xl72"/>
    <w:basedOn w:val="757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1" w:customStyle="1">
    <w:name w:val="xl73"/>
    <w:basedOn w:val="757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62" w:customStyle="1">
    <w:name w:val="xl74"/>
    <w:basedOn w:val="757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3" w:customStyle="1">
    <w:name w:val="xl75"/>
    <w:basedOn w:val="757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4" w:customStyle="1">
    <w:name w:val="xl76"/>
    <w:basedOn w:val="757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65" w:customStyle="1">
    <w:name w:val="xl77"/>
    <w:basedOn w:val="757"/>
    <w:qFormat/>
    <w:pPr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6" w:customStyle="1">
    <w:name w:val="xl78"/>
    <w:basedOn w:val="757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67" w:customStyle="1">
    <w:name w:val="xl79"/>
    <w:basedOn w:val="757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8" w:customStyle="1">
    <w:name w:val="Форма"/>
    <w:qFormat/>
    <w:rPr>
      <w:sz w:val="28"/>
      <w:szCs w:val="28"/>
    </w:rPr>
  </w:style>
  <w:style w:type="paragraph" w:styleId="969" w:customStyle="1">
    <w:name w:val="ConsPlusNormal"/>
    <w:qFormat/>
    <w:rPr>
      <w:sz w:val="28"/>
      <w:szCs w:val="28"/>
    </w:rPr>
  </w:style>
  <w:style w:type="paragraph" w:styleId="970" w:customStyle="1">
    <w:name w:val="font5"/>
    <w:basedOn w:val="757"/>
    <w:qFormat/>
    <w:pPr>
      <w:spacing w:beforeAutospacing="1" w:afterAutospacing="1"/>
    </w:pPr>
    <w:rPr>
      <w:color w:val="000000"/>
      <w:sz w:val="28"/>
      <w:szCs w:val="28"/>
    </w:rPr>
  </w:style>
  <w:style w:type="paragraph" w:styleId="971" w:customStyle="1">
    <w:name w:val="xl80"/>
    <w:basedOn w:val="757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72" w:customStyle="1">
    <w:name w:val="xl81"/>
    <w:basedOn w:val="757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73" w:customStyle="1">
    <w:name w:val="xl82"/>
    <w:basedOn w:val="757"/>
    <w:qFormat/>
    <w:pPr>
      <w:jc w:val="center"/>
      <w:spacing w:beforeAutospacing="1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74" w:customStyle="1">
    <w:name w:val="xl83"/>
    <w:basedOn w:val="75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5" w:customStyle="1">
    <w:name w:val="xl84"/>
    <w:basedOn w:val="75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6" w:customStyle="1">
    <w:name w:val="xl85"/>
    <w:basedOn w:val="75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7" w:customStyle="1">
    <w:name w:val="xl86"/>
    <w:basedOn w:val="75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8" w:customStyle="1">
    <w:name w:val="xl87"/>
    <w:basedOn w:val="75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9" w:customStyle="1">
    <w:name w:val="xl88"/>
    <w:basedOn w:val="75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80" w:customStyle="1">
    <w:name w:val="xl89"/>
    <w:basedOn w:val="75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1" w:customStyle="1">
    <w:name w:val="xl90"/>
    <w:basedOn w:val="75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2" w:customStyle="1">
    <w:name w:val="xl91"/>
    <w:basedOn w:val="75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3" w:customStyle="1">
    <w:name w:val="xl92"/>
    <w:basedOn w:val="75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84" w:customStyle="1">
    <w:name w:val="xl93"/>
    <w:basedOn w:val="75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5" w:customStyle="1">
    <w:name w:val="xl94"/>
    <w:basedOn w:val="757"/>
    <w:qFormat/>
    <w:pPr>
      <w:jc w:val="center"/>
      <w:spacing w:beforeAutospacing="1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6" w:customStyle="1">
    <w:name w:val="xl95"/>
    <w:basedOn w:val="75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7" w:customStyle="1">
    <w:name w:val="xl96"/>
    <w:basedOn w:val="75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8" w:customStyle="1">
    <w:name w:val="xl97"/>
    <w:basedOn w:val="75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9" w:customStyle="1">
    <w:name w:val="xl98"/>
    <w:basedOn w:val="757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90" w:customStyle="1">
    <w:name w:val="xl99"/>
    <w:basedOn w:val="757"/>
    <w:qFormat/>
    <w:pPr>
      <w:jc w:val="center"/>
      <w:spacing w:beforeAutospacing="1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91" w:customStyle="1">
    <w:name w:val="xl100"/>
    <w:basedOn w:val="757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2" w:customStyle="1">
    <w:name w:val="xl101"/>
    <w:basedOn w:val="75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3" w:customStyle="1">
    <w:name w:val="xl102"/>
    <w:basedOn w:val="75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4" w:customStyle="1">
    <w:name w:val="xl103"/>
    <w:basedOn w:val="757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5" w:customStyle="1">
    <w:name w:val="xl104"/>
    <w:basedOn w:val="75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6" w:customStyle="1">
    <w:name w:val="xl105"/>
    <w:basedOn w:val="75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7" w:customStyle="1">
    <w:name w:val="xl106"/>
    <w:basedOn w:val="75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98" w:customStyle="1">
    <w:name w:val="xl107"/>
    <w:basedOn w:val="75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9" w:customStyle="1">
    <w:name w:val="xl108"/>
    <w:basedOn w:val="757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0" w:customStyle="1">
    <w:name w:val="xl109"/>
    <w:basedOn w:val="757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1" w:customStyle="1">
    <w:name w:val="xl110"/>
    <w:basedOn w:val="757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2" w:customStyle="1">
    <w:name w:val="xl111"/>
    <w:basedOn w:val="757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3" w:customStyle="1">
    <w:name w:val="xl112"/>
    <w:basedOn w:val="757"/>
    <w:qFormat/>
    <w:pPr>
      <w:spacing w:beforeAutospacing="1" w:afterAutospacing="1"/>
      <w:shd w:val="clear" w:color="000000" w:fill="ffffff"/>
    </w:pPr>
    <w:rPr>
      <w:sz w:val="24"/>
      <w:szCs w:val="24"/>
    </w:rPr>
  </w:style>
  <w:style w:type="paragraph" w:styleId="1004" w:customStyle="1">
    <w:name w:val="xl113"/>
    <w:basedOn w:val="757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5" w:customStyle="1">
    <w:name w:val="xl114"/>
    <w:basedOn w:val="757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6" w:customStyle="1">
    <w:name w:val="xl115"/>
    <w:basedOn w:val="757"/>
    <w:qFormat/>
    <w:pPr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07" w:customStyle="1">
    <w:name w:val="xl116"/>
    <w:basedOn w:val="757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8" w:customStyle="1">
    <w:name w:val="xl117"/>
    <w:basedOn w:val="757"/>
    <w:qFormat/>
    <w:pPr>
      <w:jc w:val="right"/>
      <w:spacing w:beforeAutospacing="1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9" w:customStyle="1">
    <w:name w:val="xl118"/>
    <w:basedOn w:val="757"/>
    <w:qFormat/>
    <w:pPr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0" w:customStyle="1">
    <w:name w:val="xl119"/>
    <w:basedOn w:val="757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1" w:customStyle="1">
    <w:name w:val="xl120"/>
    <w:basedOn w:val="757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2" w:customStyle="1">
    <w:name w:val="xl121"/>
    <w:basedOn w:val="757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3" w:customStyle="1">
    <w:name w:val="xl122"/>
    <w:basedOn w:val="757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4" w:customStyle="1">
    <w:name w:val="xl123"/>
    <w:basedOn w:val="75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5" w:customStyle="1">
    <w:name w:val="xl124"/>
    <w:basedOn w:val="75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6" w:customStyle="1">
    <w:name w:val="xl125"/>
    <w:basedOn w:val="757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7" w:customStyle="1">
    <w:name w:val="font6"/>
    <w:basedOn w:val="757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1018" w:customStyle="1">
    <w:name w:val="font7"/>
    <w:basedOn w:val="757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1019" w:customStyle="1">
    <w:name w:val="font8"/>
    <w:basedOn w:val="757"/>
    <w:qFormat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styleId="1020">
    <w:name w:val="List Paragraph"/>
    <w:basedOn w:val="75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1021" w:customStyle="1">
    <w:name w:val="Содержимое врезки"/>
    <w:basedOn w:val="757"/>
    <w:qFormat/>
  </w:style>
  <w:style w:type="numbering" w:styleId="1022" w:customStyle="1">
    <w:name w:val="Нет списка1"/>
    <w:uiPriority w:val="99"/>
    <w:semiHidden/>
    <w:unhideWhenUsed/>
    <w:qFormat/>
  </w:style>
  <w:style w:type="numbering" w:styleId="1023" w:customStyle="1">
    <w:name w:val="Нет списка11"/>
    <w:uiPriority w:val="99"/>
    <w:semiHidden/>
    <w:unhideWhenUsed/>
    <w:qFormat/>
  </w:style>
  <w:style w:type="numbering" w:styleId="1024" w:customStyle="1">
    <w:name w:val="Нет списка111"/>
    <w:uiPriority w:val="99"/>
    <w:semiHidden/>
    <w:unhideWhenUsed/>
    <w:qFormat/>
  </w:style>
  <w:style w:type="numbering" w:styleId="1025" w:customStyle="1">
    <w:name w:val="Нет списка2"/>
    <w:uiPriority w:val="99"/>
    <w:semiHidden/>
    <w:unhideWhenUsed/>
    <w:qFormat/>
  </w:style>
  <w:style w:type="numbering" w:styleId="1026" w:customStyle="1">
    <w:name w:val="Нет списка3"/>
    <w:uiPriority w:val="99"/>
    <w:semiHidden/>
    <w:unhideWhenUsed/>
    <w:qFormat/>
  </w:style>
  <w:style w:type="numbering" w:styleId="1027" w:customStyle="1">
    <w:name w:val="Нет списка4"/>
    <w:uiPriority w:val="99"/>
    <w:semiHidden/>
    <w:unhideWhenUsed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footer" Target="footer1.xml" /><Relationship Id="rId13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dc:description/>
  <dc:language>ru-RU</dc:language>
  <cp:lastModifiedBy>shumilova-yan</cp:lastModifiedBy>
  <cp:revision>15</cp:revision>
  <dcterms:created xsi:type="dcterms:W3CDTF">2025-10-10T07:42:00Z</dcterms:created>
  <dcterms:modified xsi:type="dcterms:W3CDTF">2025-10-13T09:11:48Z</dcterms:modified>
</cp:coreProperties>
</file>