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0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утверждении По</w:t>
      </w:r>
      <w:r>
        <w:rPr>
          <w:b/>
          <w:sz w:val="28"/>
          <w:szCs w:val="28"/>
        </w:rPr>
        <w:t xml:space="preserve">ложения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муниципального учреждения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bookmarkStart w:id="0" w:name="_Hlk123117547"/>
      <w:r>
        <w:rPr>
          <w:b/>
          <w:sz w:val="28"/>
          <w:szCs w:val="28"/>
        </w:rPr>
        <w:t xml:space="preserve">сфере </w:t>
      </w:r>
      <w:r>
        <w:rPr>
          <w:b/>
          <w:sz w:val="28"/>
          <w:szCs w:val="28"/>
        </w:rPr>
        <w:t xml:space="preserve">санитарной очистки и содержания </w:t>
      </w:r>
      <w:r>
        <w:rPr>
          <w:b/>
          <w:sz w:val="28"/>
          <w:szCs w:val="28"/>
        </w:rPr>
        <w:t xml:space="preserve">территории общего пользования города Перми</w:t>
      </w:r>
      <w:bookmarkEnd w:id="0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Трудовым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кодексом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  <w:br/>
        <w:t xml:space="preserve">в единой системе пуб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личной власти»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Пермской городской Думы от 22 сентября 2009 г. № 209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об оплате труда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страция города Перми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системе оплаты труда работников муниципального учреждения в </w:t>
      </w:r>
      <w:r>
        <w:rPr>
          <w:rFonts w:ascii="Times New Roman" w:hAnsi="Times New Roman"/>
          <w:sz w:val="28"/>
          <w:szCs w:val="28"/>
        </w:rPr>
        <w:t xml:space="preserve">сфере санитарной очистки и </w:t>
      </w:r>
      <w:r>
        <w:rPr>
          <w:rFonts w:ascii="Times New Roman" w:hAnsi="Times New Roman"/>
          <w:sz w:val="28"/>
          <w:szCs w:val="28"/>
        </w:rPr>
        <w:t xml:space="preserve">содержания</w:t>
      </w:r>
      <w:r>
        <w:rPr>
          <w:rFonts w:ascii="Times New Roman" w:hAnsi="Times New Roman"/>
          <w:sz w:val="28"/>
          <w:szCs w:val="28"/>
        </w:rPr>
        <w:t xml:space="preserve"> территории общего пользования города Пе</w:t>
      </w:r>
      <w:r>
        <w:rPr>
          <w:rFonts w:ascii="Times New Roman" w:hAnsi="Times New Roman"/>
          <w:sz w:val="28"/>
          <w:szCs w:val="28"/>
        </w:rPr>
        <w:t xml:space="preserve">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</w:rPr>
        <w:t xml:space="preserve">Признать утратившими силу:</w:t>
      </w:r>
      <w:r/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 от 23 марта 2023 г. № 230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«Об утверждении Положения о системе оплаты труда работников муниципального учреждения в сфере санитарной очистки и содержания территории общего пользования города Перми»;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 </w:t>
      </w:r>
      <w:r>
        <w:rPr>
          <w:rFonts w:ascii="Times New Roman" w:hAnsi="Times New Roman"/>
          <w:sz w:val="28"/>
          <w:szCs w:val="28"/>
          <w:highlight w:val="none"/>
        </w:rPr>
        <w:t xml:space="preserve">от 25 апреля 2023 г. № 332 </w:t>
        <w:br/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пункт 2 постановления администрации города Перми </w:t>
        <w:br/>
        <w:t xml:space="preserve">от</w:t>
      </w:r>
      <w:r>
        <w:rPr>
          <w:rFonts w:ascii="Times New Roman" w:hAnsi="Times New Roman"/>
          <w:sz w:val="28"/>
          <w:szCs w:val="28"/>
          <w:highlight w:val="none"/>
        </w:rPr>
        <w:t xml:space="preserve"> 23.03.2023 № 230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Положения о системе оплаты труда работников муниципального учреждения в сф</w:t>
      </w:r>
      <w:r>
        <w:rPr>
          <w:rFonts w:ascii="Times New Roman" w:hAnsi="Times New Roman"/>
          <w:sz w:val="28"/>
          <w:szCs w:val="28"/>
          <w:highlight w:val="none"/>
        </w:rPr>
        <w:t xml:space="preserve">ере санитарной очистки </w:t>
        <w:br/>
        <w:t xml:space="preserve">и содержания территории общего пользования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 от 13 октября 2023 г. № 983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приложение 1 к Положению о системе оплаты труда работников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муниципального учреждения в сфере санитарной очистки </w:t>
        <w:br/>
        <w:t xml:space="preserve">и содержания территории общего пользования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утвержденному постановлением администрации города перми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23.03.2023 № 230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 от 21 ноября 2023 г. № 1286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приложение 1 к Положению о системе оплаты труда работников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муниципального учреждения в сфере санитарной очистки </w:t>
        <w:br/>
        <w:t xml:space="preserve">и содержания территории общего пользования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утвержденному постановлением администрации города перми от </w:t>
      </w:r>
      <w:r>
        <w:rPr>
          <w:rFonts w:ascii="Times New Roman" w:hAnsi="Times New Roman"/>
          <w:sz w:val="28"/>
          <w:szCs w:val="28"/>
          <w:highlight w:val="none"/>
        </w:rPr>
        <w:t xml:space="preserve">23.03.2023 № 230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 от 29 ноября 2024 г. № 1149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положение о системе оплаты труда работников муниципального учреждения в сфере санитарной очистки и содержания территории общего пользования города Перми, утвержденное постановлением администрации города Перми </w:t>
      </w:r>
      <w:r>
        <w:rPr>
          <w:rFonts w:ascii="Times New Roman" w:hAnsi="Times New Roman"/>
          <w:sz w:val="28"/>
          <w:szCs w:val="28"/>
          <w:highlight w:val="none"/>
        </w:rPr>
        <w:t xml:space="preserve">23.03.202</w:t>
      </w:r>
      <w:r>
        <w:rPr>
          <w:rFonts w:ascii="Times New Roman" w:hAnsi="Times New Roman"/>
          <w:sz w:val="28"/>
          <w:szCs w:val="28"/>
          <w:highlight w:val="none"/>
        </w:rPr>
        <w:t xml:space="preserve">3 № 230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администрации города Перми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20 мая 2025 г. № 340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положение о системе оплаты труда работни</w:t>
      </w:r>
      <w:r>
        <w:rPr>
          <w:rFonts w:ascii="Times New Roman" w:hAnsi="Times New Roman"/>
          <w:sz w:val="28"/>
          <w:szCs w:val="28"/>
          <w:highlight w:val="none"/>
        </w:rPr>
        <w:t xml:space="preserve">ков муниципального учреждения в сфер</w:t>
      </w:r>
      <w:r>
        <w:rPr>
          <w:rFonts w:ascii="Times New Roman" w:hAnsi="Times New Roman"/>
          <w:sz w:val="28"/>
          <w:szCs w:val="28"/>
          <w:highlight w:val="none"/>
        </w:rPr>
        <w:t xml:space="preserve">е санитарной очистки и содержания территории общего пользования города Перми, утвержденное постановлением администрации города Перми </w:t>
      </w:r>
      <w:r>
        <w:rPr>
          <w:rFonts w:ascii="Times New Roman" w:hAnsi="Times New Roman"/>
          <w:sz w:val="28"/>
          <w:szCs w:val="28"/>
          <w:highlight w:val="none"/>
        </w:rPr>
        <w:t xml:space="preserve">23.03.2023 № 230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rFonts w:ascii="Times New Roman" w:hAnsi="Times New Roman"/>
          <w:sz w:val="28"/>
          <w:szCs w:val="28"/>
        </w:rPr>
        <w:t xml:space="preserve">распространяет свое действие на прав</w:t>
      </w:r>
      <w:r>
        <w:rPr>
          <w:rFonts w:ascii="Times New Roman" w:hAnsi="Times New Roman"/>
          <w:sz w:val="28"/>
          <w:szCs w:val="28"/>
        </w:rPr>
        <w:t xml:space="preserve">оотношения, возникшие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01 ян</w:t>
      </w:r>
      <w:r>
        <w:rPr>
          <w:rFonts w:ascii="Times New Roman" w:hAnsi="Times New Roman"/>
          <w:sz w:val="28"/>
          <w:szCs w:val="28"/>
        </w:rPr>
        <w:t xml:space="preserve">варя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Официальный бюллетень органов местного самоуправления муниципал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ного образования город Пермь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опубликование (обнародование) настоящего постановления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в информац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онно-телекомму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икационной сети Интернет.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на зам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стителя главы администрации города Перми </w:t>
      </w:r>
      <w:r>
        <w:rPr>
          <w:rFonts w:ascii="Times New Roman" w:hAnsi="Times New Roman"/>
          <w:sz w:val="28"/>
          <w:szCs w:val="28"/>
        </w:rPr>
        <w:t xml:space="preserve">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tabs>
          <w:tab w:val="right" w:pos="992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 Перми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tabs>
          <w:tab w:val="right" w:pos="9923" w:leader="none"/>
        </w:tabs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5" w:h="16838" w:orient="portrait"/>
          <w:pgMar w:top="1134" w:right="567" w:bottom="1134" w:left="1418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5"/>
        <w:ind w:left="5670"/>
        <w:spacing w:line="240" w:lineRule="exact"/>
        <w:outlineLvl w:val="0"/>
      </w:pPr>
      <w:r>
        <w:t xml:space="preserve">УТВЕРЖДЕНО</w:t>
      </w:r>
      <w:r>
        <w:t xml:space="preserve"> </w:t>
      </w:r>
      <w:r/>
    </w:p>
    <w:p>
      <w:pPr>
        <w:pStyle w:val="945"/>
        <w:ind w:left="5670"/>
        <w:spacing w:line="240" w:lineRule="exact"/>
      </w:pPr>
      <w:r>
        <w:t xml:space="preserve">п</w:t>
      </w:r>
      <w:r>
        <w:t xml:space="preserve">остановлением</w:t>
      </w:r>
      <w:r>
        <w:t xml:space="preserve"> </w:t>
      </w:r>
      <w:r>
        <w:t xml:space="preserve">администр</w:t>
      </w:r>
      <w:r>
        <w:t xml:space="preserve">а</w:t>
      </w:r>
      <w:r>
        <w:t xml:space="preserve">ции </w:t>
      </w:r>
      <w:r/>
    </w:p>
    <w:p>
      <w:pPr>
        <w:pStyle w:val="945"/>
        <w:ind w:left="5670"/>
        <w:spacing w:line="240" w:lineRule="exact"/>
      </w:pPr>
      <w:r>
        <w:t xml:space="preserve">города Перми</w:t>
      </w:r>
      <w:r>
        <w:t xml:space="preserve"> </w:t>
      </w:r>
      <w:r/>
    </w:p>
    <w:p>
      <w:pPr>
        <w:pStyle w:val="945"/>
        <w:ind w:left="5670"/>
        <w:spacing w:line="240" w:lineRule="exact"/>
      </w:pPr>
      <w:r>
        <w:t xml:space="preserve">от </w:t>
      </w:r>
      <w:r/>
    </w:p>
    <w:p>
      <w:pPr>
        <w:pStyle w:val="945"/>
        <w:ind w:left="5670"/>
        <w:spacing w:line="240" w:lineRule="exact"/>
      </w:pPr>
      <w:r/>
      <w:r/>
    </w:p>
    <w:p>
      <w:pPr>
        <w:pStyle w:val="945"/>
        <w:ind w:left="5670"/>
        <w:spacing w:line="240" w:lineRule="exact"/>
      </w:pPr>
      <w:r/>
      <w:r/>
    </w:p>
    <w:p>
      <w:pPr>
        <w:pStyle w:val="945"/>
        <w:jc w:val="both"/>
        <w:spacing w:line="240" w:lineRule="exact"/>
      </w:pPr>
      <w:r/>
      <w:r/>
    </w:p>
    <w:p>
      <w:pPr>
        <w:pStyle w:val="945"/>
        <w:jc w:val="both"/>
        <w:spacing w:line="240" w:lineRule="exact"/>
      </w:pPr>
      <w:r/>
      <w:r/>
    </w:p>
    <w:p>
      <w:pPr>
        <w:pStyle w:val="101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1" w:name="Par41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 в сфере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санитарной очистки и содержания территории общего пользования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720"/>
        <w:jc w:val="both"/>
      </w:pPr>
      <w:r/>
      <w:r/>
    </w:p>
    <w:p>
      <w:pPr>
        <w:pStyle w:val="945"/>
        <w:ind w:firstLine="720"/>
        <w:jc w:val="both"/>
      </w:pPr>
      <w:r>
        <w:t xml:space="preserve">1.1. Настоящее Положение о системе оплаты труда работников </w:t>
      </w:r>
      <w:r>
        <w:t xml:space="preserve">муниципального учреждения в сфере </w:t>
      </w:r>
      <w:r>
        <w:t xml:space="preserve">санитарной очистки и содержания территории о</w:t>
      </w:r>
      <w:r>
        <w:t xml:space="preserve">б</w:t>
      </w:r>
      <w:r>
        <w:t xml:space="preserve">щего пользования города Перми</w:t>
      </w:r>
      <w:r>
        <w:t xml:space="preserve"> (далее</w:t>
      </w:r>
      <w:r>
        <w:t xml:space="preserve"> –</w:t>
      </w:r>
      <w:r>
        <w:t xml:space="preserve"> </w:t>
      </w:r>
      <w:r>
        <w:t xml:space="preserve">Положение, </w:t>
      </w:r>
      <w:r>
        <w:t xml:space="preserve">Учреждение</w:t>
      </w:r>
      <w:r>
        <w:t xml:space="preserve">) разработано в соответствии с Трудовым </w:t>
      </w:r>
      <w:r>
        <w:t xml:space="preserve">кодексом </w:t>
      </w:r>
      <w:r>
        <w:t xml:space="preserve">Россий</w:t>
      </w:r>
      <w:r>
        <w:t xml:space="preserve">с</w:t>
      </w:r>
      <w:r>
        <w:t xml:space="preserve">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  <w:br/>
        <w:t xml:space="preserve">в единой системе пуб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личной власти»</w:t>
      </w:r>
      <w:r/>
      <w:r/>
      <w:r>
        <w:t xml:space="preserve">, приказами Министерства здравоохранения и социального развития Российской Федер</w:t>
      </w:r>
      <w:r>
        <w:t xml:space="preserve">а</w:t>
      </w:r>
      <w:r>
        <w:t xml:space="preserve">ции от 29 мая 2008 г. </w:t>
      </w:r>
      <w:r>
        <w:t xml:space="preserve">№ 247н </w:t>
      </w:r>
      <w:r>
        <w:br/>
        <w:t xml:space="preserve">«</w:t>
      </w:r>
      <w:r>
        <w:t xml:space="preserve">Об утверждении профессиональных квалификационных групп общеотраслевых должностей руководителей, специалистов и служащих</w:t>
      </w:r>
      <w:r>
        <w:t xml:space="preserve">»</w:t>
      </w:r>
      <w:r>
        <w:t xml:space="preserve">, от 29 мая 2008 г. </w:t>
      </w:r>
      <w:r>
        <w:t xml:space="preserve">№ 248н </w:t>
      </w:r>
      <w:r>
        <w:t xml:space="preserve">«</w:t>
      </w:r>
      <w:r>
        <w:t xml:space="preserve">Об утверждении профессиональных квалификационных групп общеотраслевых профессий рабочих</w:t>
      </w:r>
      <w:r>
        <w:t xml:space="preserve">»</w:t>
      </w:r>
      <w:r>
        <w:t xml:space="preserve">, Едиными рекоменда</w:t>
      </w:r>
      <w:r>
        <w:t xml:space="preserve">ц</w:t>
      </w:r>
      <w:r>
        <w:t xml:space="preserve">иями по установлению </w:t>
        <w:br/>
        <w:t xml:space="preserve">на федеральном, региональном и местном уровнях систем оплаты труда работников государственных и муниципальных учреждений, утвержденными решением Российской трехсторонней комиссии по регулированию </w:t>
        <w:br/>
        <w:t xml:space="preserve">социально-трудовых отношений, </w:t>
      </w:r>
      <w:r>
        <w:t xml:space="preserve">Уставом </w:t>
      </w:r>
      <w:r>
        <w:t xml:space="preserve">г</w:t>
      </w:r>
      <w:r>
        <w:t xml:space="preserve">орода Перми, </w:t>
      </w:r>
      <w:r>
        <w:t xml:space="preserve">решением </w:t>
      </w:r>
      <w:r>
        <w:t xml:space="preserve">Пермской городской Думы</w:t>
      </w:r>
      <w:r>
        <w:t xml:space="preserve"> от 22 сентября 2009 г. </w:t>
      </w:r>
      <w:r>
        <w:t xml:space="preserve">№</w:t>
      </w:r>
      <w:r>
        <w:t xml:space="preserve"> 209 </w:t>
      </w:r>
      <w:r>
        <w:t xml:space="preserve">«</w:t>
      </w:r>
      <w:r>
        <w:t xml:space="preserve">Об утверждении Положения </w:t>
        <w:br/>
        <w:t xml:space="preserve">об оплате труда работников муниципал</w:t>
      </w:r>
      <w:r>
        <w:t xml:space="preserve">ь</w:t>
      </w:r>
      <w:r>
        <w:t xml:space="preserve">ных учреждений города Перми</w:t>
      </w:r>
      <w:r>
        <w:t xml:space="preserve">»</w:t>
      </w:r>
      <w:r>
        <w:t xml:space="preserve">.</w:t>
      </w:r>
      <w:r>
        <w:t xml:space="preserve"> </w:t>
      </w:r>
      <w:r/>
    </w:p>
    <w:p>
      <w:pPr>
        <w:pStyle w:val="945"/>
        <w:ind w:firstLine="720"/>
        <w:jc w:val="both"/>
      </w:pPr>
      <w:r>
        <w:t xml:space="preserve">Настоящее Положение определяет условия и порядок оплаты труда </w:t>
      </w:r>
      <w:r>
        <w:t xml:space="preserve">директора, заместителя </w:t>
      </w:r>
      <w:r>
        <w:t xml:space="preserve">д</w:t>
      </w:r>
      <w:r>
        <w:t xml:space="preserve">иректора</w:t>
      </w:r>
      <w:r>
        <w:t xml:space="preserve">, </w:t>
      </w:r>
      <w:r>
        <w:t xml:space="preserve">главного инженера</w:t>
      </w:r>
      <w:r>
        <w:t xml:space="preserve">, </w:t>
      </w:r>
      <w:r>
        <w:t xml:space="preserve">работников </w:t>
      </w:r>
      <w:r>
        <w:t xml:space="preserve">Учреждения</w:t>
      </w:r>
      <w:r>
        <w:t xml:space="preserve"> </w:t>
      </w:r>
      <w:r>
        <w:t xml:space="preserve">(далее</w:t>
      </w:r>
      <w:r>
        <w:t xml:space="preserve"> </w:t>
      </w:r>
      <w:r>
        <w:t xml:space="preserve">при совместном упоминании </w:t>
      </w:r>
      <w:r>
        <w:t xml:space="preserve">–</w:t>
      </w:r>
      <w:r>
        <w:t xml:space="preserve"> </w:t>
      </w:r>
      <w:r>
        <w:t xml:space="preserve">С</w:t>
      </w:r>
      <w:r>
        <w:t xml:space="preserve">о</w:t>
      </w:r>
      <w:r>
        <w:t xml:space="preserve">т</w:t>
      </w:r>
      <w:r>
        <w:t xml:space="preserve">р</w:t>
      </w:r>
      <w:r>
        <w:t xml:space="preserve">у</w:t>
      </w:r>
      <w:r>
        <w:t xml:space="preserve">д</w:t>
      </w:r>
      <w:r>
        <w:t xml:space="preserve">н</w:t>
      </w:r>
      <w:r>
        <w:t xml:space="preserve">и</w:t>
      </w:r>
      <w:r>
        <w:t xml:space="preserve">к</w:t>
      </w:r>
      <w:r>
        <w:t xml:space="preserve">и</w:t>
      </w:r>
      <w:r>
        <w:t xml:space="preserve">)</w:t>
      </w:r>
      <w:r>
        <w:t xml:space="preserve">, порядок формирования фо</w:t>
      </w:r>
      <w:r>
        <w:t xml:space="preserve">н</w:t>
      </w:r>
      <w:r>
        <w:t xml:space="preserve">да оплаты труда</w:t>
      </w:r>
      <w:r>
        <w:t xml:space="preserve"> (далее </w:t>
      </w:r>
      <w:r>
        <w:t xml:space="preserve">–</w:t>
      </w:r>
      <w:r>
        <w:t xml:space="preserve"> </w:t>
      </w:r>
      <w:r>
        <w:t xml:space="preserve">ФОТ)</w:t>
      </w:r>
      <w:r>
        <w:t xml:space="preserve">.</w:t>
      </w:r>
      <w:r>
        <w:t xml:space="preserve"> </w:t>
      </w:r>
      <w:r/>
    </w:p>
    <w:p>
      <w:pPr>
        <w:pStyle w:val="945"/>
        <w:ind w:firstLine="720"/>
        <w:jc w:val="both"/>
      </w:pPr>
      <w:r>
        <w:t xml:space="preserve">1.2. Заработная плата </w:t>
      </w:r>
      <w:r>
        <w:t xml:space="preserve">Сотру</w:t>
      </w:r>
      <w:r>
        <w:t xml:space="preserve">д</w:t>
      </w:r>
      <w:r>
        <w:t xml:space="preserve">н</w:t>
      </w:r>
      <w:r>
        <w:t xml:space="preserve">и</w:t>
      </w:r>
      <w:r>
        <w:t xml:space="preserve">к</w:t>
      </w:r>
      <w:r>
        <w:t xml:space="preserve">о</w:t>
      </w:r>
      <w:r>
        <w:t xml:space="preserve">в</w:t>
      </w:r>
      <w:r>
        <w:t xml:space="preserve"> Учреждения (без учета премий и иных стимулирующих выплат), устанав</w:t>
      </w:r>
      <w:r>
        <w:t xml:space="preserve">л</w:t>
      </w:r>
      <w:r>
        <w:t xml:space="preserve">иваемая в соответствии с настоящим Положением, не может быть меньше заработной платы (без учета премий и иных стим</w:t>
      </w:r>
      <w:r>
        <w:t xml:space="preserve">у</w:t>
      </w:r>
      <w:r>
        <w:t xml:space="preserve">лирующих выплат), установленной на дату вступления в силу настоящего Пол</w:t>
      </w:r>
      <w:r>
        <w:t xml:space="preserve">о</w:t>
      </w:r>
      <w:r>
        <w:t xml:space="preserve">жения, при условии сохранения должностных обязанностей </w:t>
      </w:r>
      <w:r>
        <w:t xml:space="preserve">Сотру</w:t>
      </w:r>
      <w:r>
        <w:t xml:space="preserve">д</w:t>
      </w:r>
      <w:r>
        <w:t xml:space="preserve">н</w:t>
      </w:r>
      <w:r>
        <w:t xml:space="preserve">и</w:t>
      </w:r>
      <w:r>
        <w:t xml:space="preserve">к</w:t>
      </w:r>
      <w:r>
        <w:t xml:space="preserve">о</w:t>
      </w:r>
      <w:r>
        <w:t xml:space="preserve">в</w:t>
      </w:r>
      <w:r>
        <w:t xml:space="preserve"> </w:t>
      </w:r>
      <w:r>
        <w:br w:type="textWrapping" w:clear="all"/>
      </w:r>
      <w:r>
        <w:t xml:space="preserve">и в</w:t>
      </w:r>
      <w:r>
        <w:t xml:space="preserve">ы</w:t>
      </w:r>
      <w:r>
        <w:t xml:space="preserve">полнения ими работ той же квалификации и в том же объеме.</w:t>
      </w:r>
      <w:r/>
    </w:p>
    <w:p>
      <w:pPr>
        <w:pStyle w:val="945"/>
        <w:ind w:firstLine="720"/>
        <w:jc w:val="both"/>
      </w:pPr>
      <w:r/>
      <w:r/>
    </w:p>
    <w:p>
      <w:pPr>
        <w:pStyle w:val="945"/>
        <w:ind w:firstLine="720"/>
        <w:jc w:val="both"/>
      </w:pPr>
      <w:r/>
      <w:r/>
    </w:p>
    <w:p>
      <w:pPr>
        <w:pStyle w:val="945"/>
        <w:ind w:firstLine="720"/>
        <w:jc w:val="both"/>
      </w:pPr>
      <w:r/>
      <w:r/>
    </w:p>
    <w:p>
      <w:pPr>
        <w:pStyle w:val="1010"/>
        <w:ind w:firstLine="72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Условия и порядок оплаты труда работников Учреждения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720"/>
        <w:jc w:val="both"/>
      </w:pPr>
      <w:r/>
      <w:r/>
    </w:p>
    <w:p>
      <w:pPr>
        <w:pStyle w:val="945"/>
        <w:ind w:firstLine="720"/>
        <w:jc w:val="both"/>
      </w:pPr>
      <w:r>
        <w:t xml:space="preserve">2.1. Основные условия оплаты труда.</w:t>
      </w:r>
      <w:r/>
    </w:p>
    <w:p>
      <w:pPr>
        <w:pStyle w:val="945"/>
        <w:ind w:firstLine="720"/>
        <w:jc w:val="both"/>
      </w:pPr>
      <w:r>
        <w:t xml:space="preserve">Оплата труда работников Учреждения включает:</w:t>
      </w:r>
      <w:r/>
    </w:p>
    <w:p>
      <w:pPr>
        <w:pStyle w:val="945"/>
        <w:ind w:firstLine="720"/>
        <w:jc w:val="both"/>
      </w:pPr>
      <w:r>
        <w:t xml:space="preserve">должностные оклады;</w:t>
      </w:r>
      <w:r>
        <w:t xml:space="preserve"> </w:t>
      </w:r>
      <w:r/>
    </w:p>
    <w:p>
      <w:pPr>
        <w:pStyle w:val="945"/>
        <w:ind w:firstLine="720"/>
        <w:jc w:val="both"/>
      </w:pPr>
      <w:r>
        <w:t xml:space="preserve">вып</w:t>
      </w:r>
      <w:r>
        <w:t xml:space="preserve">латы компенсационного характе</w:t>
      </w:r>
      <w:r>
        <w:t xml:space="preserve">р</w:t>
      </w:r>
      <w:r>
        <w:t xml:space="preserve">а;</w:t>
      </w:r>
      <w:r/>
    </w:p>
    <w:p>
      <w:pPr>
        <w:pStyle w:val="945"/>
        <w:ind w:firstLine="720"/>
        <w:jc w:val="both"/>
      </w:pPr>
      <w:r>
        <w:t xml:space="preserve">выплаты стимулирующего характера.</w:t>
      </w:r>
      <w:r/>
    </w:p>
    <w:p>
      <w:pPr>
        <w:pStyle w:val="945"/>
        <w:ind w:firstLine="720"/>
        <w:jc w:val="both"/>
      </w:pPr>
      <w:r>
        <w:t xml:space="preserve">2.2. Должностные оклады:</w:t>
      </w:r>
      <w:r/>
    </w:p>
    <w:p>
      <w:pPr>
        <w:pStyle w:val="945"/>
        <w:ind w:firstLine="720"/>
        <w:jc w:val="both"/>
      </w:pPr>
      <w:r>
        <w:t xml:space="preserve">2.2.1. размеры должностных окладов работникам Учреждения устанавливаются в </w:t>
      </w:r>
      <w:r>
        <w:t xml:space="preserve">соответствии с </w:t>
      </w:r>
      <w:r>
        <w:fldChar w:fldCharType="begin"/>
      </w:r>
      <w:r>
        <w:instrText xml:space="preserve"> HYPERLINK \l "Par449" \o "РАЗМЕРЫ" </w:instrText>
      </w:r>
      <w:r>
        <w:fldChar w:fldCharType="separate"/>
      </w:r>
      <w:r>
        <w:t xml:space="preserve">таблицами </w:t>
      </w:r>
      <w:r>
        <w:t xml:space="preserve">1</w:t>
      </w:r>
      <w:r>
        <w:fldChar w:fldCharType="end"/>
      </w:r>
      <w:r>
        <w:t xml:space="preserve">-</w:t>
      </w:r>
      <w:r>
        <w:t xml:space="preserve">4</w:t>
      </w:r>
      <w:r>
        <w:t xml:space="preserve"> приложения 1 к настоящему Положению. В случае двой</w:t>
      </w:r>
      <w:r>
        <w:t xml:space="preserve">н</w:t>
      </w:r>
      <w:r>
        <w:t xml:space="preserve">ого наименования должностей руководителей, специалистов, сл</w:t>
      </w:r>
      <w:r>
        <w:t xml:space="preserve">у</w:t>
      </w:r>
      <w:r>
        <w:t xml:space="preserve">жащих, профессий рабочих должностной оклад устанавливается по первой (о</w:t>
      </w:r>
      <w:r>
        <w:t xml:space="preserve">с</w:t>
      </w:r>
      <w:r>
        <w:t xml:space="preserve">новной) должности, профессии рабочего;</w:t>
      </w:r>
      <w:r/>
    </w:p>
    <w:p>
      <w:pPr>
        <w:pStyle w:val="945"/>
        <w:ind w:firstLine="720"/>
        <w:jc w:val="both"/>
      </w:pPr>
      <w:r>
        <w:t xml:space="preserve">2.2.2. месячная заработная плата работника, полностью отработавшего </w:t>
      </w:r>
      <w:r>
        <w:br w:type="textWrapping" w:clear="all"/>
      </w:r>
      <w:r>
        <w:t xml:space="preserve">за этот период </w:t>
      </w:r>
      <w:r>
        <w:t xml:space="preserve">н</w:t>
      </w:r>
      <w:r>
        <w:t xml:space="preserve">орму рабочего времени и выполнившего нормы труда (трудовые обязанности), не может быть ниже минимального размера оплаты труда, установленного в соответствии с действующим законодательством.</w:t>
      </w:r>
      <w:r/>
    </w:p>
    <w:p>
      <w:pPr>
        <w:pStyle w:val="945"/>
        <w:ind w:firstLine="720"/>
        <w:jc w:val="both"/>
      </w:pPr>
      <w:r/>
      <w:bookmarkStart w:id="2" w:name="Par65"/>
      <w:r/>
      <w:bookmarkEnd w:id="2"/>
      <w:r>
        <w:t xml:space="preserve">2.3. Выплаты компенсационного характера:</w:t>
      </w:r>
      <w:r/>
    </w:p>
    <w:p>
      <w:pPr>
        <w:pStyle w:val="945"/>
        <w:ind w:firstLine="720"/>
        <w:jc w:val="both"/>
      </w:pPr>
      <w:r>
        <w:t xml:space="preserve">2.3.1. работникам Учрежд</w:t>
      </w:r>
      <w:r>
        <w:t xml:space="preserve">е</w:t>
      </w:r>
      <w:r>
        <w:t xml:space="preserve">ния устанавливаются следующие виды выплат компенсационного характера:</w:t>
      </w:r>
      <w:r/>
    </w:p>
    <w:p>
      <w:pPr>
        <w:pStyle w:val="945"/>
        <w:ind w:firstLine="720"/>
        <w:jc w:val="both"/>
      </w:pPr>
      <w:r>
        <w:t xml:space="preserve">выплаты работникам, занятым на тяже</w:t>
      </w:r>
      <w:r>
        <w:t xml:space="preserve">лых работах, работах с вредными</w:t>
        <w:br w:type="textWrapping" w:clear="all"/>
      </w:r>
      <w:r>
        <w:t xml:space="preserve">и (или) опасными и иными особыми условиями труда;</w:t>
      </w:r>
      <w:r/>
    </w:p>
    <w:p>
      <w:pPr>
        <w:pStyle w:val="945"/>
        <w:ind w:firstLine="720"/>
        <w:jc w:val="both"/>
      </w:pPr>
      <w:r>
        <w:t xml:space="preserve">выплаты за работу в местностях с особыми климатическими условиями (р</w:t>
      </w:r>
      <w:r>
        <w:t xml:space="preserve">а</w:t>
      </w:r>
      <w:r>
        <w:t xml:space="preserve">йонный коэффициент);</w:t>
      </w:r>
      <w:r/>
    </w:p>
    <w:p>
      <w:pPr>
        <w:pStyle w:val="945"/>
        <w:ind w:firstLine="720"/>
        <w:jc w:val="both"/>
      </w:pPr>
      <w: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работ или исполнении об</w:t>
      </w:r>
      <w:r>
        <w:t xml:space="preserve">я</w:t>
      </w:r>
      <w:r>
        <w:t xml:space="preserve">занностей временно отсут</w:t>
      </w:r>
      <w:r>
        <w:t xml:space="preserve">с</w:t>
      </w:r>
      <w:r>
        <w:t xml:space="preserve">твующего работника без освобождения от работы, определенной трудовым договором, работе в ночное время, </w:t>
      </w:r>
      <w:r>
        <w:br w:type="textWrapping" w:clear="all"/>
      </w:r>
      <w:r>
        <w:t xml:space="preserve">в выходные и нераб</w:t>
      </w:r>
      <w:r>
        <w:t xml:space="preserve">о</w:t>
      </w:r>
      <w:r>
        <w:t xml:space="preserve">чие праздничные дни);</w:t>
      </w:r>
      <w:r/>
    </w:p>
    <w:p>
      <w:pPr>
        <w:pStyle w:val="945"/>
        <w:ind w:firstLine="720"/>
        <w:jc w:val="both"/>
      </w:pPr>
      <w:r>
        <w:t xml:space="preserve">2.3.2. выплаты компенсационного характера устанавливаются в процентном отношении к должностному окладу или в а</w:t>
      </w:r>
      <w:r>
        <w:t xml:space="preserve">б</w:t>
      </w:r>
      <w:r>
        <w:t xml:space="preserve">солютных значениях не ниже размеров, установленных трудовым законодательством и иными нормативными прав</w:t>
      </w:r>
      <w:r>
        <w:t xml:space="preserve">о</w:t>
      </w:r>
      <w:r>
        <w:t xml:space="preserve">выми актами, содержащими нормы трудового права;</w:t>
      </w:r>
      <w:r/>
    </w:p>
    <w:p>
      <w:pPr>
        <w:pStyle w:val="945"/>
        <w:ind w:firstLine="720"/>
        <w:jc w:val="both"/>
      </w:pPr>
      <w:r>
        <w:t xml:space="preserve">2.3.3. порядок начисления регулируется трудовым законодательством </w:t>
      </w:r>
      <w:r>
        <w:br w:type="textWrapping" w:clear="all"/>
      </w:r>
      <w:r>
        <w:t xml:space="preserve">и иными нормативными правовыми актам</w:t>
      </w:r>
      <w:r>
        <w:t xml:space="preserve">и</w:t>
      </w:r>
      <w:r>
        <w:t xml:space="preserve">, содержащими нормы трудового права;</w:t>
      </w:r>
      <w:r/>
    </w:p>
    <w:p>
      <w:pPr>
        <w:pStyle w:val="945"/>
        <w:ind w:firstLine="720"/>
        <w:jc w:val="both"/>
      </w:pPr>
      <w:r>
        <w:t xml:space="preserve">2.3.4. размеры и условия осуществления выплат компенсационного характера устанавливаются локальным нормативным актом работодателя </w:t>
      </w:r>
      <w:r>
        <w:br w:type="textWrapping" w:clear="all"/>
      </w:r>
      <w:r>
        <w:t xml:space="preserve">в соотве</w:t>
      </w:r>
      <w:r>
        <w:t xml:space="preserve">т</w:t>
      </w:r>
      <w:r>
        <w:t xml:space="preserve">ствии с действующим законодательством.</w:t>
      </w:r>
      <w:r/>
    </w:p>
    <w:p>
      <w:pPr>
        <w:pStyle w:val="945"/>
        <w:ind w:firstLine="720"/>
        <w:jc w:val="both"/>
      </w:pPr>
      <w:r/>
      <w:bookmarkStart w:id="3" w:name="Par74"/>
      <w:r/>
      <w:bookmarkEnd w:id="3"/>
      <w:r>
        <w:t xml:space="preserve">2.4. Выплаты стимулирующего характера:</w:t>
      </w:r>
      <w:r/>
    </w:p>
    <w:p>
      <w:pPr>
        <w:pStyle w:val="945"/>
        <w:ind w:firstLine="720"/>
        <w:jc w:val="both"/>
      </w:pPr>
      <w:r>
        <w:t xml:space="preserve">2</w:t>
      </w:r>
      <w:r>
        <w:t xml:space="preserve">.4.1. в целях материального стимулирования к эффективному </w:t>
      </w:r>
      <w:r>
        <w:br w:type="textWrapping" w:clear="all"/>
      </w:r>
      <w:r>
        <w:t xml:space="preserve">и доброс</w:t>
      </w:r>
      <w:r>
        <w:t xml:space="preserve">о</w:t>
      </w:r>
      <w:r>
        <w:t xml:space="preserve">вестному выполнению труда, а также конкретного вклада работника </w:t>
      </w:r>
      <w:r>
        <w:br w:type="textWrapping" w:clear="all"/>
      </w:r>
      <w:r>
        <w:t xml:space="preserve">в успешное выполнение задач, стоящих перед Учреждением, устанавливаются следующие виды выплат стимулирующего характера:</w:t>
      </w:r>
      <w:r/>
    </w:p>
    <w:p>
      <w:pPr>
        <w:pStyle w:val="945"/>
        <w:ind w:firstLine="720"/>
        <w:jc w:val="both"/>
      </w:pPr>
      <w:r>
        <w:t xml:space="preserve">2.</w:t>
      </w:r>
      <w:r>
        <w:t xml:space="preserve">4</w:t>
      </w:r>
      <w:r>
        <w:t xml:space="preserve">.1.1. ежемесячные надбавки к должностному окладу за стаж работы, выслугу лет согласно таблице:</w:t>
      </w:r>
      <w:r/>
    </w:p>
    <w:tbl>
      <w:tblPr>
        <w:tblW w:w="5000" w:type="pct"/>
        <w:tblInd w:w="0" w:type="dxa"/>
        <w:tblLayout w:type="autofit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590"/>
        <w:gridCol w:w="4733"/>
        <w:gridCol w:w="47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Стаж работы, выслуга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Процент от должностного оклада</w:t>
            </w:r>
            <w:r/>
          </w:p>
        </w:tc>
      </w:tr>
    </w:tbl>
    <w:p>
      <w:pPr>
        <w:pStyle w:val="9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Layout w:type="autofit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590"/>
        <w:gridCol w:w="4733"/>
        <w:gridCol w:w="472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от 1 до 5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</w:t>
            </w:r>
            <w:r>
              <w:t xml:space="preserve"> </w:t>
            </w:r>
            <w:r>
              <w:t xml:space="preserve">%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от 5 до 10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</w:t>
            </w:r>
            <w:r>
              <w:t xml:space="preserve"> </w:t>
            </w:r>
            <w:r>
              <w:t xml:space="preserve">%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от 10 до 15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>
              <w:t xml:space="preserve"> </w:t>
            </w:r>
            <w:r>
              <w:t xml:space="preserve">%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6" w:type="pct"/>
            <w:vAlign w:val="top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от 15 лет и выше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pct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>
              <w:t xml:space="preserve"> </w:t>
            </w:r>
            <w:r>
              <w:t xml:space="preserve">%</w:t>
            </w:r>
            <w:r/>
          </w:p>
        </w:tc>
      </w:tr>
    </w:tbl>
    <w:p>
      <w:pPr>
        <w:pStyle w:val="945"/>
        <w:jc w:val="both"/>
      </w:pPr>
      <w:r/>
      <w:r/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стаж работы, выслугу лет засчитывается стаж работы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территории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санитарной очистки и содержания территории общего пользования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стаж работы по специальности,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торой работник осуществл</w:t>
      </w:r>
      <w:r>
        <w:rPr>
          <w:sz w:val="28"/>
          <w:szCs w:val="28"/>
        </w:rPr>
        <w:t xml:space="preserve">яет труд</w:t>
      </w:r>
      <w:r>
        <w:rPr>
          <w:sz w:val="28"/>
          <w:szCs w:val="28"/>
        </w:rPr>
        <w:t xml:space="preserve">овую функцию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Учреждении, стаж работы в должностях руководителей и специалистов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предприятиях, в учреждениях и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ганизациях, опыт и знание работы в которых необходимы работнику для испо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нения обязанностей по занимаемой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им должности, выслуга л</w:t>
      </w:r>
      <w:r>
        <w:rPr>
          <w:sz w:val="28"/>
          <w:szCs w:val="28"/>
        </w:rPr>
        <w:t xml:space="preserve">ет на до</w:t>
      </w:r>
      <w:r>
        <w:rPr>
          <w:sz w:val="28"/>
          <w:szCs w:val="28"/>
        </w:rPr>
        <w:t xml:space="preserve">лжностях государс</w:t>
      </w:r>
      <w:r>
        <w:rPr>
          <w:sz w:val="28"/>
          <w:szCs w:val="28"/>
        </w:rPr>
        <w:t xml:space="preserve">твенной и муниципальной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firstLine="720"/>
        <w:jc w:val="both"/>
      </w:pPr>
      <w:r>
        <w:t xml:space="preserve">2.4.1.2. ежемесячная надбавка </w:t>
      </w:r>
      <w:r>
        <w:t xml:space="preserve">к должностному окладу за с</w:t>
      </w:r>
      <w:r>
        <w:t xml:space="preserve">ложный </w:t>
      </w:r>
      <w:r>
        <w:br w:type="textWrapping" w:clear="all"/>
      </w:r>
      <w:r>
        <w:t xml:space="preserve">и напр</w:t>
      </w:r>
      <w:r>
        <w:t xml:space="preserve">я</w:t>
      </w:r>
      <w:r>
        <w:t xml:space="preserve">женный режим работы </w:t>
      </w:r>
      <w:r>
        <w:t xml:space="preserve">в размере от </w:t>
      </w:r>
      <w:r>
        <w:t xml:space="preserve">5</w:t>
      </w:r>
      <w:r>
        <w:t xml:space="preserve">0</w:t>
      </w:r>
      <w:r>
        <w:t xml:space="preserve"> </w:t>
      </w:r>
      <w:r>
        <w:t xml:space="preserve">% до 200 %.</w:t>
      </w:r>
      <w:r/>
    </w:p>
    <w:p>
      <w:pPr>
        <w:pStyle w:val="945"/>
        <w:ind w:firstLine="720"/>
        <w:jc w:val="both"/>
      </w:pPr>
      <w:r>
        <w:t xml:space="preserve">Ежемесячная надбавка за сложный и напряженный режим работы устанавливается в зав</w:t>
      </w:r>
      <w:r>
        <w:t xml:space="preserve">исимости</w:t>
      </w:r>
      <w:r>
        <w:t xml:space="preserve"> от особенных условий и напряженности труда;</w:t>
      </w:r>
      <w:r/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2.4.1.3. премии по итогам</w:t>
      </w:r>
      <w:r>
        <w:rPr>
          <w:sz w:val="28"/>
          <w:szCs w:val="28"/>
        </w:rPr>
        <w:t xml:space="preserve"> работы за месяц, квартал,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премиальных выплат по итогам работы за месяц, квартал, год ра</w:t>
      </w:r>
      <w:r>
        <w:rPr>
          <w:sz w:val="28"/>
          <w:szCs w:val="28"/>
        </w:rPr>
        <w:t xml:space="preserve">ботнику</w:t>
      </w:r>
      <w:r>
        <w:rPr>
          <w:sz w:val="28"/>
          <w:szCs w:val="28"/>
        </w:rPr>
        <w:t xml:space="preserve"> Учреждения устанавливаются </w:t>
      </w:r>
      <w:r>
        <w:rPr>
          <w:sz w:val="28"/>
          <w:szCs w:val="28"/>
        </w:rPr>
        <w:t xml:space="preserve">на основании целевых показателей эффективн</w:t>
      </w:r>
      <w:r>
        <w:rPr>
          <w:sz w:val="28"/>
          <w:szCs w:val="28"/>
        </w:rPr>
        <w:t xml:space="preserve">ости дея</w:t>
      </w:r>
      <w:r>
        <w:rPr>
          <w:sz w:val="28"/>
          <w:szCs w:val="28"/>
        </w:rPr>
        <w:t xml:space="preserve">тельности Учреждения и критериев оценки эффективности работы</w:t>
      </w:r>
      <w:r>
        <w:rPr>
          <w:sz w:val="28"/>
          <w:szCs w:val="28"/>
        </w:rPr>
        <w:t xml:space="preserve">, утвержденных 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кальным </w:t>
      </w:r>
      <w:r>
        <w:rPr>
          <w:sz w:val="28"/>
          <w:szCs w:val="28"/>
        </w:rPr>
        <w:t xml:space="preserve">нормативным актом работодателя.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 вправе установить размер соответствующей премии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учетом качества, сложности и интенсивности выполняемых поруч</w:t>
      </w:r>
      <w:r>
        <w:rPr>
          <w:sz w:val="28"/>
          <w:szCs w:val="28"/>
        </w:rPr>
        <w:t xml:space="preserve">ений. Ре</w:t>
      </w:r>
      <w:r>
        <w:rPr>
          <w:sz w:val="28"/>
          <w:szCs w:val="28"/>
        </w:rPr>
        <w:t xml:space="preserve">шение директора Учреждения о назначении соответствующей премии оформляется при</w:t>
      </w:r>
      <w:r>
        <w:rPr>
          <w:sz w:val="28"/>
          <w:szCs w:val="28"/>
        </w:rPr>
        <w:t xml:space="preserve">казом;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премии по итогам работы за квартал, год работникам Учреждения согласовывается с учредителем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2.4.1.4. разовые премии за выполнение</w:t>
      </w:r>
      <w:r>
        <w:rPr>
          <w:sz w:val="28"/>
          <w:szCs w:val="28"/>
        </w:rPr>
        <w:t xml:space="preserve"> особо важных и сложных за</w:t>
      </w:r>
      <w:r>
        <w:rPr>
          <w:sz w:val="28"/>
          <w:szCs w:val="28"/>
        </w:rPr>
        <w:t xml:space="preserve">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Обобщенными показателями назначения премии, устанавливаемой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выполнение особо важных и сложных зад</w:t>
      </w:r>
      <w:r>
        <w:rPr>
          <w:sz w:val="28"/>
          <w:szCs w:val="28"/>
        </w:rPr>
        <w:t xml:space="preserve">аний, являются высокий профессионализм и качество, интенсивность деятельности при решении внеочередных, сложных и важных задач, поручений вышестоящи</w:t>
      </w:r>
      <w:r>
        <w:rPr>
          <w:sz w:val="28"/>
          <w:szCs w:val="28"/>
        </w:rPr>
        <w:t xml:space="preserve">х руководителей, иные управленческие </w:t>
      </w:r>
      <w:r>
        <w:rPr>
          <w:sz w:val="28"/>
          <w:szCs w:val="28"/>
        </w:rPr>
        <w:t xml:space="preserve">и служебные достижения;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размер стимулирующих выплат устанавливае</w:t>
      </w:r>
      <w:r>
        <w:rPr>
          <w:sz w:val="28"/>
          <w:szCs w:val="28"/>
        </w:rPr>
        <w:t xml:space="preserve">тся в процентном отношении к должностному окладу или в абсолютных значениях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 ограничивается </w:t>
      </w:r>
      <w:r>
        <w:rPr>
          <w:sz w:val="28"/>
          <w:szCs w:val="28"/>
        </w:rPr>
        <w:t xml:space="preserve">максимальными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мерами в пределах </w:t>
      </w:r>
      <w:r>
        <w:rPr>
          <w:sz w:val="28"/>
          <w:szCs w:val="28"/>
        </w:rPr>
        <w:t xml:space="preserve">ФОТ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разм</w:t>
      </w:r>
      <w:r>
        <w:rPr>
          <w:sz w:val="28"/>
          <w:szCs w:val="28"/>
        </w:rPr>
        <w:t xml:space="preserve">еры, услови</w:t>
      </w:r>
      <w:r>
        <w:rPr>
          <w:sz w:val="28"/>
          <w:szCs w:val="28"/>
        </w:rPr>
        <w:t xml:space="preserve">я и сроки осуществления выплат стимулирующего характера устанавливаются локальным </w:t>
      </w:r>
      <w:r>
        <w:rPr>
          <w:sz w:val="28"/>
          <w:szCs w:val="28"/>
        </w:rPr>
        <w:t xml:space="preserve">нормативным акт</w:t>
      </w:r>
      <w:r>
        <w:rPr>
          <w:sz w:val="28"/>
          <w:szCs w:val="28"/>
        </w:rPr>
        <w:t xml:space="preserve">ом работодателя.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III.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Условия и порядок оплаты труда директора Учреждения,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9"/>
        <w:jc w:val="center"/>
        <w:spacing w:line="240" w:lineRule="exact"/>
        <w:rPr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заместителя директора, главного инженера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Оплата труда директора У</w:t>
      </w:r>
      <w:r>
        <w:rPr>
          <w:sz w:val="28"/>
          <w:szCs w:val="28"/>
        </w:rPr>
        <w:t xml:space="preserve">чреждения, заместителя директ</w:t>
      </w:r>
      <w:r>
        <w:rPr>
          <w:sz w:val="28"/>
          <w:szCs w:val="28"/>
        </w:rPr>
        <w:t xml:space="preserve">ора, главного инженера состоит из должностного оклада, выплат компенсационного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стимулирующего характера.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уровень соотношения среднемесячной заработной платы директора Учреждения, заместителя директора, главного и</w:t>
      </w:r>
      <w:r>
        <w:rPr>
          <w:sz w:val="28"/>
          <w:szCs w:val="28"/>
        </w:rPr>
        <w:t xml:space="preserve">нженера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среднемесячной заработной платы работников Учреждения устанавливается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кратности до 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</w:t>
      </w:r>
      <w:r>
        <w:rPr>
          <w:sz w:val="28"/>
          <w:szCs w:val="28"/>
        </w:rPr>
        <w:t xml:space="preserve">меры должностных окладов директора Учреждения, заместителя директора, главного инженера устанавливаются в соответствии </w:t>
      </w:r>
      <w:r>
        <w:rPr>
          <w:sz w:val="28"/>
          <w:szCs w:val="28"/>
        </w:rPr>
        <w:t xml:space="preserve">с таблицей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приложения 1 к н</w:t>
      </w:r>
      <w:r>
        <w:rPr>
          <w:sz w:val="28"/>
          <w:szCs w:val="28"/>
        </w:rPr>
        <w:t xml:space="preserve">астоящему Положен</w:t>
      </w:r>
      <w:r>
        <w:rPr>
          <w:sz w:val="28"/>
          <w:szCs w:val="28"/>
        </w:rPr>
        <w:t xml:space="preserve">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Директору Учреждения, заместителю директора, главному инженеру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учетом условий и</w:t>
      </w:r>
      <w:r>
        <w:rPr>
          <w:sz w:val="28"/>
          <w:szCs w:val="28"/>
        </w:rPr>
        <w:t xml:space="preserve">х труда устанавливаются выплаты компенсационного характера в соответствии с пунктом 2.3 настоящего Положения.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Директору Учреждения, заместител</w:t>
      </w:r>
      <w:r>
        <w:rPr>
          <w:sz w:val="28"/>
          <w:szCs w:val="28"/>
        </w:rPr>
        <w:t xml:space="preserve">ю директора, главному инженеру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учетом условий их труда устанавливаются выплаты стимулирующего характера в</w:t>
      </w:r>
      <w:r>
        <w:rPr>
          <w:sz w:val="28"/>
          <w:szCs w:val="28"/>
        </w:rPr>
        <w:t xml:space="preserve"> соответствии с пунктом 2.4 настоящего Положения.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Размеры премиальных выплат по итогам работы за месяц, квартал, год директору Учреждения уста</w:t>
      </w:r>
      <w:r>
        <w:rPr>
          <w:sz w:val="28"/>
          <w:szCs w:val="28"/>
        </w:rPr>
        <w:t xml:space="preserve">навливаются с учетом достижения </w:t>
      </w:r>
      <w:r>
        <w:rPr>
          <w:sz w:val="28"/>
          <w:szCs w:val="28"/>
        </w:rPr>
        <w:t xml:space="preserve">целевых</w:t>
      </w:r>
      <w:r>
        <w:rPr>
          <w:sz w:val="28"/>
          <w:szCs w:val="28"/>
        </w:rPr>
        <w:t xml:space="preserve"> показателей эффективности деятельности Учреждения и критериев оценки</w:t>
      </w:r>
      <w:r>
        <w:rPr>
          <w:sz w:val="28"/>
          <w:szCs w:val="28"/>
        </w:rPr>
        <w:t xml:space="preserve"> эффективности работы директора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премиальных выплат по итогам работы за месяц, квартал, год заместителю директора, главному и</w:t>
      </w:r>
      <w:r>
        <w:rPr>
          <w:sz w:val="28"/>
          <w:szCs w:val="28"/>
        </w:rPr>
        <w:t xml:space="preserve">нженеру устана</w:t>
      </w:r>
      <w:r>
        <w:rPr>
          <w:sz w:val="28"/>
          <w:szCs w:val="28"/>
        </w:rPr>
        <w:t xml:space="preserve">вливаются с уч</w:t>
      </w:r>
      <w:r>
        <w:rPr>
          <w:sz w:val="28"/>
          <w:szCs w:val="28"/>
        </w:rPr>
        <w:t xml:space="preserve">етом достижения целевых показателей работы и критериев оценки эффективности работы, утвержденных локальным нормативным актом работодателя.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вправе установить размер соответствующей премии с учетом качества, сложности</w:t>
      </w:r>
      <w:r>
        <w:rPr>
          <w:sz w:val="28"/>
          <w:szCs w:val="28"/>
        </w:rPr>
        <w:t xml:space="preserve"> и интенсивнос</w:t>
      </w:r>
      <w:r>
        <w:rPr>
          <w:sz w:val="28"/>
          <w:szCs w:val="28"/>
        </w:rPr>
        <w:t xml:space="preserve">ти выполняемых</w:t>
      </w:r>
      <w:r>
        <w:rPr>
          <w:sz w:val="28"/>
          <w:szCs w:val="28"/>
        </w:rPr>
        <w:t xml:space="preserve"> поручений. Решение работодателя о назначении соответствующей премии оформляется приказом.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  <w:lang w:val="en-US"/>
        </w:rPr>
        <w:t xml:space="preserve">V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Выплаты социального характера </w:t>
      </w:r>
      <w:r>
        <w:rPr>
          <w:b/>
          <w:bCs/>
          <w:sz w:val="28"/>
          <w:szCs w:val="28"/>
        </w:rPr>
        <w:t xml:space="preserve">Сотру</w:t>
      </w: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 Учреждения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Учреждения устанавливаются следующие виды выплат со</w:t>
      </w:r>
      <w:r>
        <w:rPr>
          <w:sz w:val="28"/>
          <w:szCs w:val="28"/>
        </w:rPr>
        <w:t xml:space="preserve">циального характера: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.1. материальная помощь к отпуску в размере </w:t>
      </w:r>
      <w:r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должностн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оклад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утверж</w:t>
      </w:r>
      <w:r>
        <w:rPr>
          <w:sz w:val="28"/>
          <w:szCs w:val="28"/>
        </w:rPr>
        <w:t xml:space="preserve">денного фонда оплаты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текущего календарного года материальная помощь к отпу</w:t>
      </w:r>
      <w:r>
        <w:rPr>
          <w:sz w:val="28"/>
          <w:szCs w:val="28"/>
        </w:rPr>
        <w:t xml:space="preserve">ску может быть произведена суммарно либо по частям в размере одного должностног</w:t>
      </w:r>
      <w:r>
        <w:rPr>
          <w:sz w:val="28"/>
          <w:szCs w:val="28"/>
        </w:rPr>
        <w:t xml:space="preserve">о оклада при предоставлении ежегодного отпуска или его части, а также в любой и</w:t>
      </w:r>
      <w:r>
        <w:rPr>
          <w:sz w:val="28"/>
          <w:szCs w:val="28"/>
        </w:rPr>
        <w:t xml:space="preserve">ной период в течение календарного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неиспользования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ежегодного оплачиваемого отпуска (либо его части) в текущем календарном году, а т</w:t>
      </w:r>
      <w:r>
        <w:rPr>
          <w:sz w:val="28"/>
          <w:szCs w:val="28"/>
        </w:rPr>
        <w:t xml:space="preserve">акже при наличии ин</w:t>
      </w:r>
      <w:r>
        <w:rPr>
          <w:sz w:val="28"/>
          <w:szCs w:val="28"/>
        </w:rPr>
        <w:t xml:space="preserve">ых уважительных при</w:t>
      </w:r>
      <w:r>
        <w:rPr>
          <w:sz w:val="28"/>
          <w:szCs w:val="28"/>
        </w:rPr>
        <w:t xml:space="preserve">чин материальная помощь к отпуску по согласованию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работодателем может быть выплачена в иные сро</w:t>
      </w:r>
      <w:r>
        <w:rPr>
          <w:sz w:val="28"/>
          <w:szCs w:val="28"/>
        </w:rPr>
        <w:t xml:space="preserve">ки в течение календарного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увольнении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не получившего в текущем году материальную помощь к отпуску, </w:t>
      </w:r>
      <w:r>
        <w:rPr>
          <w:sz w:val="28"/>
          <w:szCs w:val="28"/>
        </w:rPr>
        <w:t xml:space="preserve">а также вновь приня</w:t>
      </w:r>
      <w:r>
        <w:rPr>
          <w:sz w:val="28"/>
          <w:szCs w:val="28"/>
        </w:rPr>
        <w:t xml:space="preserve">тому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материальная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мощь производится пропорционально отработанному в данном календарном году 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.1.2. </w:t>
      </w:r>
      <w:r>
        <w:rPr>
          <w:sz w:val="28"/>
          <w:szCs w:val="28"/>
        </w:rPr>
        <w:t xml:space="preserve">материальная помощь в течение финансового года выплачивается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Учреждения при наличии экономии ФОТ</w:t>
      </w:r>
      <w:r>
        <w:rPr>
          <w:sz w:val="28"/>
          <w:szCs w:val="28"/>
        </w:rPr>
        <w:t xml:space="preserve">, </w:t>
      </w:r>
      <w:bookmarkStart w:id="4" w:name="_Hlk211159798"/>
      <w:r>
        <w:rPr>
          <w:sz w:val="28"/>
          <w:szCs w:val="28"/>
        </w:rPr>
        <w:t xml:space="preserve">и за счет средств, поступ</w:t>
      </w:r>
      <w:r>
        <w:rPr>
          <w:sz w:val="28"/>
          <w:szCs w:val="28"/>
        </w:rPr>
        <w:t xml:space="preserve">ивших в текущем году свер</w:t>
      </w:r>
      <w:r>
        <w:rPr>
          <w:sz w:val="28"/>
          <w:szCs w:val="28"/>
        </w:rPr>
        <w:t xml:space="preserve">х утвержд</w:t>
      </w:r>
      <w:r>
        <w:rPr>
          <w:sz w:val="28"/>
          <w:szCs w:val="28"/>
        </w:rPr>
        <w:t xml:space="preserve">енного планового объема поступле</w:t>
      </w:r>
      <w:r>
        <w:rPr>
          <w:sz w:val="28"/>
          <w:szCs w:val="28"/>
        </w:rPr>
        <w:t xml:space="preserve">ний текущего финансового года от предпринимательской и иной приносящей доход деятельности Учреждения</w:t>
      </w:r>
      <w:bookmarkEnd w:id="4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следу</w:t>
      </w:r>
      <w:r>
        <w:rPr>
          <w:sz w:val="28"/>
          <w:szCs w:val="28"/>
        </w:rPr>
        <w:t xml:space="preserve">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празднования юбилейных дат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Учреждения (50-летие и каждые</w:t>
      </w:r>
      <w:r>
        <w:rPr>
          <w:sz w:val="28"/>
          <w:szCs w:val="28"/>
        </w:rPr>
        <w:t xml:space="preserve"> последующие пять лет со дня р</w:t>
      </w:r>
      <w:r>
        <w:rPr>
          <w:sz w:val="28"/>
          <w:szCs w:val="28"/>
        </w:rPr>
        <w:t xml:space="preserve">ождения);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бракосочетания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Учреждения при представлении копии свидетельства о браке;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рождения ребенка у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Учреждения, являющего</w:t>
      </w:r>
      <w:r>
        <w:rPr>
          <w:sz w:val="28"/>
          <w:szCs w:val="28"/>
        </w:rPr>
        <w:t xml:space="preserve">ся родителем, усыновления (удочерения) ребенка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ком в установленном законо</w:t>
      </w:r>
      <w:r>
        <w:rPr>
          <w:sz w:val="28"/>
          <w:szCs w:val="28"/>
        </w:rPr>
        <w:t xml:space="preserve">дательством порядке при пр</w:t>
      </w:r>
      <w:r>
        <w:rPr>
          <w:sz w:val="28"/>
          <w:szCs w:val="28"/>
        </w:rPr>
        <w:t xml:space="preserve">едставлении копии свидетельства о рождении или свидетельства об усыновлении (удочерении);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ком Учреждения государственных наград;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офессионального праздника («День строителя», «День работников бытового обслуживан</w:t>
      </w:r>
      <w:r>
        <w:rPr>
          <w:sz w:val="28"/>
          <w:szCs w:val="28"/>
        </w:rPr>
        <w:t xml:space="preserve">ия населения и жилищно-коммунального хозяйства»);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юбилейных дат деятельности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праздничных дней в Российской Федерации, установленных Трудовым кодексом Российской Фе</w:t>
      </w:r>
      <w:r>
        <w:rPr>
          <w:sz w:val="28"/>
          <w:szCs w:val="28"/>
        </w:rPr>
        <w:t xml:space="preserve">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тяжелого финансового положения, в том числе необходимости оплаты дорогос</w:t>
      </w:r>
      <w:r>
        <w:rPr>
          <w:sz w:val="28"/>
          <w:szCs w:val="28"/>
        </w:rPr>
        <w:t xml:space="preserve">тоящего лечения при представлении справок из медицинского учреждения, че</w:t>
      </w:r>
      <w:r>
        <w:rPr>
          <w:sz w:val="28"/>
          <w:szCs w:val="28"/>
        </w:rPr>
        <w:t xml:space="preserve">ков на приобретение дорогостоящих лекарств или проведения лечебных процедур;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причинения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Учре</w:t>
      </w:r>
      <w:r>
        <w:rPr>
          <w:sz w:val="28"/>
          <w:szCs w:val="28"/>
        </w:rPr>
        <w:t xml:space="preserve">ждения или членам его семьи ущерба в результате стихийного бедствия или иных форс</w:t>
      </w:r>
      <w:r>
        <w:rPr>
          <w:sz w:val="28"/>
          <w:szCs w:val="28"/>
        </w:rPr>
        <w:t xml:space="preserve">-мажорных обстоятельств, в том числе утраты личного имущества на крупную сумму вс</w:t>
      </w:r>
      <w:r>
        <w:rPr>
          <w:sz w:val="28"/>
          <w:szCs w:val="28"/>
        </w:rPr>
        <w:t xml:space="preserve">ледствие кражи, пожара при представлении справки из отдела полиции, управления государственной</w:t>
      </w:r>
      <w:r>
        <w:rPr>
          <w:sz w:val="28"/>
          <w:szCs w:val="28"/>
        </w:rPr>
        <w:t xml:space="preserve"> противопожарной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смерти супруга (супруги), родителей, детей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реж</w:t>
      </w:r>
      <w:r>
        <w:rPr>
          <w:sz w:val="28"/>
          <w:szCs w:val="28"/>
        </w:rPr>
        <w:t xml:space="preserve">дения при представлении копии свидетельства о смерти и документа, подтверждающег</w:t>
      </w:r>
      <w:r>
        <w:rPr>
          <w:sz w:val="28"/>
          <w:szCs w:val="28"/>
        </w:rPr>
        <w:t xml:space="preserve">о наличие родственных отношений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Порядок и размеры осуществления выплат социального ха</w:t>
      </w:r>
      <w:r>
        <w:rPr>
          <w:sz w:val="28"/>
          <w:szCs w:val="28"/>
        </w:rPr>
        <w:t xml:space="preserve">рактера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Учреждения устанавливаются локальным нормативным актом работо</w:t>
      </w:r>
      <w:r>
        <w:rPr>
          <w:sz w:val="28"/>
          <w:szCs w:val="28"/>
        </w:rPr>
        <w:t xml:space="preserve">дателя.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выплате материальной помощи к отпуску директору Учреждения принимается начальником департамента дорог и благоустр</w:t>
      </w:r>
      <w:r>
        <w:rPr>
          <w:sz w:val="28"/>
          <w:szCs w:val="28"/>
        </w:rPr>
        <w:t xml:space="preserve">ойства администрации города Перми (далее - У</w:t>
      </w:r>
      <w:r>
        <w:rPr>
          <w:sz w:val="28"/>
          <w:szCs w:val="28"/>
        </w:rPr>
        <w:t xml:space="preserve">чредитель) на основании письменного заявления директора Учреждения и оформляется </w:t>
      </w:r>
      <w:r>
        <w:rPr>
          <w:sz w:val="28"/>
          <w:szCs w:val="28"/>
        </w:rPr>
        <w:t xml:space="preserve">соответствующим приказом.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материальной помощи директору Учреждения в случаях, установленных пунктом 4.1.2 настоящего Положения (за исключением празднования юбилейных д</w:t>
      </w:r>
      <w:r>
        <w:rPr>
          <w:sz w:val="28"/>
          <w:szCs w:val="28"/>
        </w:rPr>
        <w:t xml:space="preserve">ат деятельности Учреждения, праздничных дней в Российской Федерации, установленны</w:t>
      </w:r>
      <w:r>
        <w:rPr>
          <w:sz w:val="28"/>
          <w:szCs w:val="28"/>
        </w:rPr>
        <w:t xml:space="preserve">х Трудовым кодексом Россий</w:t>
      </w:r>
      <w:r>
        <w:rPr>
          <w:sz w:val="28"/>
          <w:szCs w:val="28"/>
        </w:rPr>
        <w:t xml:space="preserve">ской Федерации), производится в размере одного должностного оклада. Выплата материальной помощи к празднованию юбилейных дат деятельности Учреждения,</w:t>
      </w:r>
      <w:r>
        <w:rPr>
          <w:sz w:val="28"/>
          <w:szCs w:val="28"/>
        </w:rPr>
        <w:t xml:space="preserve"> праздничных дней в Российской Федерации, установленных Трудовым кодексом Российс</w:t>
      </w:r>
      <w:r>
        <w:rPr>
          <w:sz w:val="28"/>
          <w:szCs w:val="28"/>
        </w:rPr>
        <w:t xml:space="preserve">кой Федерации, директору У</w:t>
      </w:r>
      <w:r>
        <w:rPr>
          <w:sz w:val="28"/>
          <w:szCs w:val="28"/>
        </w:rPr>
        <w:t xml:space="preserve">чреждения может быть выплачена в размере, рассчитанном в зависимости от объема экономии по фонду оплаты труда в Учреждении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 счет средств, поступ</w:t>
      </w:r>
      <w:r>
        <w:rPr>
          <w:sz w:val="28"/>
          <w:szCs w:val="28"/>
        </w:rPr>
        <w:t xml:space="preserve">ивших в текущем году сверх утвержденного планового объема поступлений текущего фи</w:t>
      </w:r>
      <w:r>
        <w:rPr>
          <w:sz w:val="28"/>
          <w:szCs w:val="28"/>
        </w:rPr>
        <w:t xml:space="preserve">нансового года от предпринимательской и иной приносящей доход деятельности Учрежд</w:t>
      </w:r>
      <w:r>
        <w:rPr>
          <w:sz w:val="28"/>
          <w:szCs w:val="28"/>
        </w:rPr>
        <w:t xml:space="preserve">ения</w:t>
      </w:r>
      <w:r>
        <w:rPr>
          <w:sz w:val="28"/>
          <w:szCs w:val="28"/>
        </w:rPr>
        <w:t xml:space="preserve">. Решение о выплате материальной помощи директору Учреждения в случаях, установленных пунк</w:t>
      </w:r>
      <w:r>
        <w:rPr>
          <w:sz w:val="28"/>
          <w:szCs w:val="28"/>
        </w:rPr>
        <w:t xml:space="preserve">том 4.1.2 настоящего Положения, принимается </w:t>
      </w:r>
      <w:r>
        <w:rPr>
          <w:sz w:val="28"/>
          <w:szCs w:val="28"/>
        </w:rPr>
        <w:t xml:space="preserve">Учредителем на основании письменного </w:t>
      </w:r>
      <w:r>
        <w:rPr>
          <w:sz w:val="28"/>
          <w:szCs w:val="28"/>
        </w:rPr>
        <w:t xml:space="preserve">заявления директора Учреждения и офор</w:t>
      </w:r>
      <w:r>
        <w:rPr>
          <w:sz w:val="28"/>
          <w:szCs w:val="28"/>
        </w:rPr>
        <w:t xml:space="preserve">мляется соответствующим приказом.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V. Порядок формирования фонда оплаты труда Учреждения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ФОТ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формируется за счет средств </w:t>
      </w:r>
      <w:r>
        <w:rPr>
          <w:sz w:val="28"/>
          <w:szCs w:val="28"/>
        </w:rPr>
        <w:t xml:space="preserve">бюджета города Перм</w:t>
      </w:r>
      <w:r>
        <w:rPr>
          <w:sz w:val="28"/>
          <w:szCs w:val="28"/>
        </w:rPr>
        <w:t xml:space="preserve">и, исходя из размеров субсидий У</w:t>
      </w:r>
      <w:r>
        <w:rPr>
          <w:sz w:val="28"/>
          <w:szCs w:val="28"/>
        </w:rPr>
        <w:t xml:space="preserve">чреждению на</w:t>
      </w:r>
      <w:r>
        <w:rPr>
          <w:sz w:val="28"/>
          <w:szCs w:val="28"/>
        </w:rPr>
        <w:t xml:space="preserve"> финансовое обеспечение выполнения м</w:t>
      </w:r>
      <w:r>
        <w:rPr>
          <w:sz w:val="28"/>
          <w:szCs w:val="28"/>
        </w:rPr>
        <w:t xml:space="preserve">униципального задания, и средств, </w:t>
      </w:r>
      <w:r>
        <w:rPr>
          <w:sz w:val="28"/>
          <w:szCs w:val="28"/>
        </w:rPr>
        <w:t xml:space="preserve">поступающих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предпринимательской и иной </w:t>
      </w:r>
      <w:r>
        <w:rPr>
          <w:sz w:val="28"/>
          <w:szCs w:val="28"/>
        </w:rPr>
        <w:t xml:space="preserve">приносящей доход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</w:t>
      </w:r>
      <w:r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При формировании </w:t>
      </w:r>
      <w:r>
        <w:rPr>
          <w:sz w:val="28"/>
          <w:szCs w:val="28"/>
        </w:rPr>
        <w:t xml:space="preserve">ФОТ </w:t>
      </w:r>
      <w:r>
        <w:rPr>
          <w:sz w:val="28"/>
          <w:szCs w:val="28"/>
        </w:rPr>
        <w:t xml:space="preserve">Учреждения пр</w:t>
      </w:r>
      <w:r>
        <w:rPr>
          <w:sz w:val="28"/>
          <w:szCs w:val="28"/>
        </w:rPr>
        <w:t xml:space="preserve">едусматриваются средства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выплаты </w:t>
      </w:r>
      <w:r>
        <w:rPr>
          <w:sz w:val="28"/>
          <w:szCs w:val="28"/>
        </w:rPr>
        <w:t xml:space="preserve">Сотру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Учреждения (в </w:t>
      </w:r>
      <w:r>
        <w:rPr>
          <w:sz w:val="28"/>
          <w:szCs w:val="28"/>
        </w:rPr>
        <w:t xml:space="preserve">расчете на год) в размерах согласно </w:t>
      </w:r>
      <w:r>
        <w:fldChar w:fldCharType="begin"/>
      </w:r>
      <w:r>
        <w:instrText xml:space="preserve"> HYPERLINK "https://login.consultant.ru/link/?req=doc&amp;base=RLAW368&amp;n=169335&amp;dst=599&amp;field=134&amp;date=12.08.2022" </w:instrText>
      </w:r>
      <w:r>
        <w:fldChar w:fldCharType="separate"/>
      </w:r>
      <w:r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настоящему Положению.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</w:t>
      </w:r>
      <w:r>
        <w:rPr>
          <w:sz w:val="28"/>
          <w:szCs w:val="28"/>
        </w:rPr>
        <w:t xml:space="preserve">ор Учреждения имеет право перераспределять средства </w:t>
      </w:r>
      <w:r>
        <w:rPr>
          <w:sz w:val="28"/>
          <w:szCs w:val="28"/>
        </w:rPr>
        <w:t xml:space="preserve">ФОТ </w:t>
      </w:r>
      <w:r>
        <w:rPr>
          <w:sz w:val="28"/>
          <w:szCs w:val="28"/>
        </w:rPr>
        <w:t xml:space="preserve">между д</w:t>
      </w:r>
      <w:r>
        <w:rPr>
          <w:sz w:val="28"/>
          <w:szCs w:val="28"/>
        </w:rPr>
        <w:t xml:space="preserve">олжностями, а также между выплатами компенсационного и стимулирующего характера внутри Учреждения на основании локального нормативного акта работодателя в пределах средств, у</w:t>
      </w:r>
      <w:r>
        <w:rPr>
          <w:sz w:val="28"/>
          <w:szCs w:val="28"/>
        </w:rPr>
        <w:t xml:space="preserve">становленных настоя</w:t>
      </w:r>
      <w:r>
        <w:rPr>
          <w:sz w:val="28"/>
          <w:szCs w:val="28"/>
        </w:rPr>
        <w:t xml:space="preserve">щим пунктом.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 имеет право перераспределять средства ф</w:t>
      </w:r>
      <w:r>
        <w:rPr>
          <w:sz w:val="28"/>
          <w:szCs w:val="28"/>
        </w:rPr>
        <w:t xml:space="preserve">онда заработной платы между выплатами компенсационного и стимулирующего характера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дире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тору Учреждения на основании локального нормативного акта работодателя в пределах средств, установленных </w:t>
      </w:r>
      <w:r>
        <w:rPr>
          <w:sz w:val="28"/>
          <w:szCs w:val="28"/>
        </w:rPr>
        <w:t xml:space="preserve">настоящим пунктом.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</w:t>
      </w:r>
      <w:r>
        <w:rPr>
          <w:sz w:val="28"/>
          <w:szCs w:val="28"/>
        </w:rPr>
        <w:t xml:space="preserve">, рассчитанный в соответствии с пунк</w:t>
      </w:r>
      <w:r>
        <w:rPr>
          <w:sz w:val="28"/>
          <w:szCs w:val="28"/>
        </w:rPr>
        <w:t xml:space="preserve">том 5.2 настоящего Положения, увеличивается на выплату за работу в местностях с особыми климатическими условиями (районный коэффициент)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действу</w:t>
      </w:r>
      <w:r>
        <w:rPr>
          <w:sz w:val="28"/>
          <w:szCs w:val="28"/>
        </w:rPr>
        <w:t xml:space="preserve">ющим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Шта</w:t>
      </w:r>
      <w:r>
        <w:rPr>
          <w:sz w:val="28"/>
          <w:szCs w:val="28"/>
        </w:rPr>
        <w:t xml:space="preserve">тное расписание Учреждения утверждается директором Учреждения п</w:t>
      </w:r>
      <w:r>
        <w:rPr>
          <w:sz w:val="28"/>
          <w:szCs w:val="28"/>
        </w:rPr>
        <w:t xml:space="preserve">ри наличии согласования Учредителя.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Директор Учреждения имеет право перераспределять средства премиального фонда между должностями в</w:t>
      </w:r>
      <w:r>
        <w:rPr>
          <w:sz w:val="28"/>
          <w:szCs w:val="28"/>
        </w:rPr>
        <w:t xml:space="preserve">нутри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В течение финансового года средст</w:t>
      </w:r>
      <w:r>
        <w:rPr>
          <w:sz w:val="28"/>
          <w:szCs w:val="28"/>
        </w:rPr>
        <w:t xml:space="preserve">ва экономии </w:t>
      </w:r>
      <w:r>
        <w:rPr>
          <w:sz w:val="28"/>
          <w:szCs w:val="28"/>
        </w:rPr>
        <w:t xml:space="preserve">ФОТ </w:t>
      </w:r>
      <w:r>
        <w:rPr>
          <w:sz w:val="28"/>
          <w:szCs w:val="28"/>
        </w:rPr>
        <w:t xml:space="preserve">могут направляться на выплаты компенсационного,</w:t>
      </w:r>
      <w:r>
        <w:rPr>
          <w:sz w:val="28"/>
          <w:szCs w:val="28"/>
        </w:rPr>
        <w:t xml:space="preserve"> стимулирующего и социального ха</w:t>
      </w:r>
      <w:r>
        <w:rPr>
          <w:sz w:val="28"/>
          <w:szCs w:val="28"/>
        </w:rPr>
        <w:t xml:space="preserve">рактера </w:t>
      </w:r>
      <w:r>
        <w:rPr>
          <w:sz w:val="28"/>
          <w:szCs w:val="28"/>
        </w:rPr>
        <w:t xml:space="preserve">Сотрудни</w:t>
      </w:r>
      <w:r>
        <w:rPr>
          <w:sz w:val="28"/>
          <w:szCs w:val="28"/>
        </w:rPr>
        <w:t xml:space="preserve">кам</w:t>
      </w:r>
      <w:r>
        <w:rPr>
          <w:sz w:val="28"/>
          <w:szCs w:val="28"/>
        </w:rPr>
        <w:t xml:space="preserve"> Учреждения.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Экономию ФОТ Учреждение</w:t>
      </w:r>
      <w:r>
        <w:rPr>
          <w:sz w:val="28"/>
          <w:szCs w:val="28"/>
        </w:rPr>
        <w:t xml:space="preserve"> имеет право направлять на выплаты компенсационного, стимулирующего и социального характера </w:t>
      </w:r>
      <w:r>
        <w:rPr>
          <w:sz w:val="28"/>
          <w:szCs w:val="28"/>
        </w:rPr>
        <w:t xml:space="preserve">Сотрудникам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экономии ФОТ </w:t>
      </w:r>
      <w:r>
        <w:rPr>
          <w:sz w:val="28"/>
          <w:szCs w:val="28"/>
        </w:rPr>
        <w:t xml:space="preserve">Сотрудникам</w:t>
      </w:r>
      <w:r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, з</w:t>
      </w:r>
      <w:r>
        <w:rPr>
          <w:sz w:val="28"/>
          <w:szCs w:val="28"/>
        </w:rPr>
        <w:t xml:space="preserve">а исклю</w:t>
      </w:r>
      <w:r>
        <w:rPr>
          <w:sz w:val="28"/>
          <w:szCs w:val="28"/>
        </w:rPr>
        <w:t xml:space="preserve">чением директора Учреждения,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приказом директора Учреждения в зависимости от объема </w:t>
      </w:r>
      <w:r>
        <w:rPr>
          <w:sz w:val="28"/>
          <w:szCs w:val="28"/>
        </w:rPr>
        <w:t xml:space="preserve">и качества оказанных услуг и (или) выполненных работ и личного вклада каждого </w:t>
      </w:r>
      <w:r>
        <w:rPr>
          <w:sz w:val="28"/>
          <w:szCs w:val="28"/>
        </w:rPr>
        <w:t xml:space="preserve">Сотруд</w:t>
      </w:r>
      <w:r>
        <w:rPr>
          <w:sz w:val="28"/>
          <w:szCs w:val="28"/>
        </w:rPr>
        <w:t xml:space="preserve">ника</w:t>
      </w:r>
      <w:r>
        <w:rPr>
          <w:sz w:val="28"/>
          <w:szCs w:val="28"/>
        </w:rPr>
        <w:t xml:space="preserve">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выплате компенсационного, стимулирующего</w:t>
      </w:r>
      <w:r>
        <w:rPr>
          <w:sz w:val="28"/>
          <w:szCs w:val="28"/>
        </w:rPr>
        <w:t xml:space="preserve"> и социального характера из средств экономии ФОТ директору Учреждения принимает учредитель на основании письменного заявления директора Учреждения и оформляется соответствующим приказом.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</w:t>
      </w:r>
      <w:r>
        <w:rPr>
          <w:sz w:val="28"/>
          <w:szCs w:val="28"/>
        </w:rPr>
        <w:t xml:space="preserve">ы компе</w:t>
      </w:r>
      <w:r>
        <w:rPr>
          <w:sz w:val="28"/>
          <w:szCs w:val="28"/>
        </w:rPr>
        <w:t xml:space="preserve">нсационного, стимулирующего и социального характера из с</w:t>
      </w:r>
      <w:r>
        <w:rPr>
          <w:sz w:val="28"/>
          <w:szCs w:val="28"/>
        </w:rPr>
        <w:t xml:space="preserve">редств экономии ФОТ заместителю директора, главному инженеру и работникам Учреждения, осуществляются на основании приказа директора Учреждения по согласованию с Учредителем в части контроля за </w:t>
      </w:r>
      <w:r>
        <w:rPr>
          <w:sz w:val="28"/>
          <w:szCs w:val="28"/>
        </w:rPr>
        <w:t xml:space="preserve">экономией ФОТ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.7. Средства, поступившие в текущем году сверх </w:t>
      </w:r>
      <w:r>
        <w:rPr>
          <w:sz w:val="28"/>
          <w:szCs w:val="28"/>
        </w:rPr>
        <w:t xml:space="preserve">утвержденного планового объема поступлений текущего финансового года от предпринимательской и иной приносящей доход деятельности Учреждения, на</w:t>
      </w:r>
      <w:r>
        <w:rPr>
          <w:sz w:val="28"/>
          <w:szCs w:val="28"/>
        </w:rPr>
        <w:t xml:space="preserve">правляются на выплаты </w:t>
      </w:r>
      <w:r>
        <w:rPr>
          <w:sz w:val="28"/>
          <w:szCs w:val="28"/>
        </w:rPr>
        <w:t xml:space="preserve">компенсационного,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стимулирующего и социального</w:t>
      </w:r>
      <w:r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до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и распредел</w:t>
      </w:r>
      <w:r>
        <w:rPr>
          <w:sz w:val="28"/>
          <w:szCs w:val="28"/>
        </w:rPr>
        <w:t xml:space="preserve">яются на выплаты </w:t>
      </w:r>
      <w:r>
        <w:rPr>
          <w:sz w:val="28"/>
          <w:szCs w:val="28"/>
        </w:rPr>
        <w:t xml:space="preserve">компенсационного,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стимулирующего и социального характера:</w:t>
      </w:r>
      <w:r>
        <w:t xml:space="preserve"> </w:t>
      </w:r>
      <w:r/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% от суммы, направленной на</w:t>
      </w:r>
      <w:r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 xml:space="preserve">компенсационного,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стимул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рующего</w:t>
      </w:r>
      <w:r>
        <w:rPr>
          <w:sz w:val="28"/>
          <w:szCs w:val="28"/>
        </w:rPr>
        <w:t xml:space="preserve"> и социального характера;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ителю директора, главному инженеру</w:t>
      </w:r>
      <w:r>
        <w:rPr>
          <w:sz w:val="28"/>
          <w:szCs w:val="28"/>
        </w:rPr>
        <w:t xml:space="preserve">, р</w:t>
      </w:r>
      <w:r>
        <w:rPr>
          <w:sz w:val="28"/>
          <w:szCs w:val="28"/>
        </w:rPr>
        <w:t xml:space="preserve">аботникам</w:t>
      </w:r>
      <w:r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менее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% от суммы, направленной на выплаты </w:t>
      </w:r>
      <w:r>
        <w:rPr>
          <w:sz w:val="28"/>
          <w:szCs w:val="28"/>
        </w:rPr>
        <w:t xml:space="preserve">компенсационного, </w:t>
      </w:r>
      <w:r>
        <w:rPr>
          <w:sz w:val="28"/>
          <w:szCs w:val="28"/>
        </w:rPr>
        <w:t xml:space="preserve">стимули</w:t>
      </w:r>
      <w:r>
        <w:rPr>
          <w:sz w:val="28"/>
          <w:szCs w:val="28"/>
        </w:rPr>
        <w:t xml:space="preserve">рующего </w:t>
      </w:r>
      <w:r>
        <w:rPr>
          <w:sz w:val="28"/>
          <w:szCs w:val="28"/>
        </w:rPr>
        <w:t xml:space="preserve">и 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характера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Распределение</w:t>
      </w:r>
      <w:r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поступивши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 текущем году сверх утвержденного пл</w:t>
      </w:r>
      <w:r>
        <w:rPr>
          <w:sz w:val="28"/>
          <w:szCs w:val="28"/>
        </w:rPr>
        <w:t xml:space="preserve">анового объем</w:t>
      </w:r>
      <w:r>
        <w:rPr>
          <w:sz w:val="28"/>
          <w:szCs w:val="28"/>
        </w:rPr>
        <w:t xml:space="preserve">а поступлений текущего финансового года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предпринимательской</w:t>
      </w:r>
      <w:r>
        <w:rPr>
          <w:sz w:val="28"/>
          <w:szCs w:val="28"/>
        </w:rPr>
        <w:t xml:space="preserve"> и иной приносящей доход деятельности </w:t>
      </w:r>
      <w:r>
        <w:rPr>
          <w:sz w:val="28"/>
          <w:szCs w:val="28"/>
        </w:rPr>
        <w:t xml:space="preserve">Сотрудникам </w:t>
      </w:r>
      <w:r>
        <w:rPr>
          <w:sz w:val="28"/>
          <w:szCs w:val="28"/>
        </w:rPr>
        <w:t xml:space="preserve">Учреждения, осуществляется прик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зом директора Учреждения </w:t>
      </w:r>
      <w:r>
        <w:rPr>
          <w:sz w:val="28"/>
          <w:szCs w:val="28"/>
        </w:rPr>
        <w:t xml:space="preserve">в зависимости от объема </w:t>
      </w:r>
      <w:r>
        <w:rPr>
          <w:sz w:val="28"/>
          <w:szCs w:val="28"/>
        </w:rPr>
        <w:t xml:space="preserve">и качества оказанных услуг и (или) выполненных работ и лично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вклада каждого </w:t>
      </w:r>
      <w:r>
        <w:rPr>
          <w:sz w:val="28"/>
          <w:szCs w:val="28"/>
        </w:rPr>
        <w:t xml:space="preserve">Сотрудника</w:t>
      </w:r>
      <w:r>
        <w:rPr>
          <w:sz w:val="28"/>
          <w:szCs w:val="28"/>
        </w:rPr>
        <w:t xml:space="preserve"> 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выплате компен</w:t>
      </w:r>
      <w:r>
        <w:rPr>
          <w:sz w:val="28"/>
          <w:szCs w:val="28"/>
        </w:rPr>
        <w:t xml:space="preserve">сационного, стимулирующего и социального характера из средств, поступивших в текущем году сверх утвержден</w:t>
      </w:r>
      <w:r>
        <w:rPr>
          <w:sz w:val="28"/>
          <w:szCs w:val="28"/>
        </w:rPr>
        <w:t xml:space="preserve">ного планового объема поступлений текущего финансового года от предпринимательской и ино</w:t>
      </w:r>
      <w:r>
        <w:rPr>
          <w:sz w:val="28"/>
          <w:szCs w:val="28"/>
        </w:rPr>
        <w:t xml:space="preserve">й приносящей доход деятельности, директору Учреждения принимает</w:t>
      </w:r>
      <w:r>
        <w:rPr>
          <w:sz w:val="28"/>
          <w:szCs w:val="28"/>
        </w:rPr>
        <w:t xml:space="preserve"> учредитель на основании письменного заявления директора Учреждения и оформляется соответствующим приказо</w:t>
      </w:r>
      <w:r>
        <w:rPr>
          <w:sz w:val="28"/>
          <w:szCs w:val="28"/>
        </w:rPr>
        <w:t xml:space="preserve">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компенсационного, стимулирующего и социального характера из средств, поступив</w:t>
      </w:r>
      <w:r>
        <w:rPr>
          <w:sz w:val="28"/>
          <w:szCs w:val="28"/>
        </w:rPr>
        <w:t xml:space="preserve">ших в текущем году сверх утвержденного планового объема поступл</w:t>
      </w:r>
      <w:r>
        <w:rPr>
          <w:sz w:val="28"/>
          <w:szCs w:val="28"/>
        </w:rPr>
        <w:t xml:space="preserve">ений текущего финансового года от предпринимательской и иной приносящей доход деятельности заместителю д</w:t>
      </w:r>
      <w:r>
        <w:rPr>
          <w:sz w:val="28"/>
          <w:szCs w:val="28"/>
        </w:rPr>
        <w:t xml:space="preserve">иректора, главному инженеру и </w:t>
      </w:r>
      <w:r>
        <w:rPr>
          <w:sz w:val="28"/>
          <w:szCs w:val="28"/>
        </w:rPr>
        <w:t xml:space="preserve">работникам</w:t>
      </w:r>
      <w:r>
        <w:rPr>
          <w:sz w:val="28"/>
          <w:szCs w:val="28"/>
        </w:rPr>
        <w:t xml:space="preserve"> Учреждения осуществляются на основании приказа д</w:t>
      </w:r>
      <w:r>
        <w:rPr>
          <w:sz w:val="28"/>
          <w:szCs w:val="28"/>
        </w:rPr>
        <w:t xml:space="preserve">иректора Учреждения по согласованию с Учредителем в части контр</w:t>
      </w:r>
      <w:r>
        <w:rPr>
          <w:sz w:val="28"/>
          <w:szCs w:val="28"/>
        </w:rPr>
        <w:t xml:space="preserve">оля за распределением средств экономии в соотношении, установленном в пункте 5.7 настоящего постановлени</w:t>
      </w:r>
      <w:r>
        <w:rPr>
          <w:sz w:val="28"/>
          <w:szCs w:val="28"/>
        </w:rPr>
        <w:t xml:space="preserve">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firstLine="6804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567" w:bottom="1134" w:left="1418" w:header="397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Приложение 1</w:t>
      </w:r>
      <w:r>
        <w:rPr>
          <w:sz w:val="28"/>
        </w:rPr>
      </w:r>
      <w:r>
        <w:rPr>
          <w:sz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к П</w:t>
      </w:r>
      <w:r>
        <w:rPr>
          <w:sz w:val="28"/>
        </w:rPr>
        <w:t xml:space="preserve">оложению о системе оплаты </w:t>
      </w:r>
      <w:r>
        <w:rPr>
          <w:sz w:val="28"/>
        </w:rPr>
      </w:r>
      <w:r>
        <w:rPr>
          <w:sz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труда</w:t>
      </w:r>
      <w:r>
        <w:rPr>
          <w:sz w:val="28"/>
        </w:rPr>
        <w:t xml:space="preserve"> </w:t>
      </w:r>
      <w:r>
        <w:rPr>
          <w:sz w:val="28"/>
        </w:rPr>
        <w:t xml:space="preserve">работников муниципального</w:t>
      </w:r>
      <w:r>
        <w:rPr>
          <w:sz w:val="28"/>
        </w:rPr>
      </w:r>
      <w:r>
        <w:rPr>
          <w:sz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учреждения</w:t>
      </w:r>
      <w:r>
        <w:rPr>
          <w:sz w:val="28"/>
        </w:rPr>
        <w:t xml:space="preserve"> в сфере санитарной</w:t>
      </w:r>
      <w:r>
        <w:rPr>
          <w:sz w:val="28"/>
        </w:rPr>
      </w:r>
      <w:r>
        <w:rPr>
          <w:sz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очистки и</w:t>
      </w:r>
      <w:r>
        <w:rPr>
          <w:sz w:val="28"/>
        </w:rPr>
        <w:t xml:space="preserve"> содержания территории</w:t>
      </w:r>
      <w:r>
        <w:rPr>
          <w:sz w:val="28"/>
        </w:rPr>
      </w:r>
      <w:r>
        <w:rPr>
          <w:sz w:val="28"/>
        </w:rPr>
      </w:r>
    </w:p>
    <w:p>
      <w:pPr>
        <w:pStyle w:val="909"/>
        <w:ind w:left="5669"/>
        <w:jc w:val="left"/>
        <w:spacing w:line="283" w:lineRule="exact"/>
        <w:rPr>
          <w:sz w:val="28"/>
        </w:rPr>
        <w:outlineLvl w:val="2"/>
      </w:pPr>
      <w:r>
        <w:rPr>
          <w:sz w:val="28"/>
        </w:rPr>
        <w:t xml:space="preserve">общего пользования </w:t>
      </w:r>
      <w:r>
        <w:rPr>
          <w:sz w:val="28"/>
        </w:rPr>
        <w:t xml:space="preserve">города Перми</w:t>
      </w:r>
      <w:r>
        <w:rPr>
          <w:sz w:val="28"/>
        </w:rPr>
      </w:r>
      <w:r>
        <w:rPr>
          <w:sz w:val="28"/>
        </w:rPr>
      </w:r>
    </w:p>
    <w:p>
      <w:pPr>
        <w:pStyle w:val="909"/>
        <w:jc w:val="right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9"/>
        <w:jc w:val="right"/>
        <w:rPr>
          <w:sz w:val="28"/>
        </w:rPr>
        <w:outlineLvl w:val="2"/>
      </w:pPr>
      <w:r>
        <w:rPr>
          <w:sz w:val="28"/>
        </w:rPr>
        <w:t xml:space="preserve"> </w:t>
      </w:r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pStyle w:val="909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9"/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9"/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должностных окладов работников муниципального учреждения в сфере санитарной очистк</w:t>
      </w:r>
      <w:r>
        <w:rPr>
          <w:rFonts w:eastAsia="Calibri"/>
          <w:b/>
          <w:sz w:val="28"/>
          <w:szCs w:val="28"/>
          <w:lang w:eastAsia="en-US"/>
        </w:rPr>
        <w:t xml:space="preserve">и и содержания территории общего пользования города Перми, занимающих должности, включенные в профессиональные </w:t>
        <w:br w:type="textWrapping" w:clear="all"/>
        <w:t xml:space="preserve">квалификационные группы общеотраслевых должностей руководителе</w:t>
      </w:r>
      <w:r>
        <w:rPr>
          <w:rFonts w:eastAsia="Calibri"/>
          <w:b/>
          <w:sz w:val="28"/>
          <w:szCs w:val="28"/>
          <w:lang w:eastAsia="en-US"/>
        </w:rPr>
        <w:t xml:space="preserve">й, специалистов и служащих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1"/>
        <w:gridCol w:w="2990"/>
        <w:gridCol w:w="3472"/>
        <w:gridCol w:w="1599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Квалификационные уровни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должности, </w:t>
              <w:br w:type="textWrapping" w:clear="all"/>
              <w:t xml:space="preserve">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офессии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909"/>
        <w:spacing w:line="259" w:lineRule="auto"/>
        <w:rPr>
          <w:rFonts w:eastAsia="Calibri"/>
          <w:sz w:val="2"/>
          <w:szCs w:val="2"/>
          <w:lang w:eastAsia="en-US"/>
        </w:rPr>
      </w:pPr>
      <w:r>
        <w:rPr>
          <w:rFonts w:eastAsia="Calibri"/>
          <w:sz w:val="2"/>
          <w:szCs w:val="2"/>
          <w:lang w:eastAsia="en-US"/>
        </w:rPr>
      </w:r>
      <w:r>
        <w:rPr>
          <w:rFonts w:eastAsia="Calibri"/>
          <w:sz w:val="2"/>
          <w:szCs w:val="2"/>
          <w:lang w:eastAsia="en-US"/>
        </w:rPr>
      </w:r>
      <w:r>
        <w:rPr>
          <w:rFonts w:eastAsia="Calibri"/>
          <w:sz w:val="2"/>
          <w:szCs w:val="2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8"/>
        <w:gridCol w:w="2995"/>
        <w:gridCol w:w="3477"/>
        <w:gridCol w:w="1604"/>
        <w:gridCol w:w="1319"/>
        <w:gridCol w:w="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"/>
        </w:trPr>
        <w:tc>
          <w:tcPr>
            <w:gridSpan w:val="4"/>
            <w:tcBorders>
              <w:right w:val="non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20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Общеотраслевые должности служащих второго уровня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едущий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испетчер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403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19 470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механик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403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19 470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gridSpan w:val="5"/>
            <w:tcBorders>
              <w:right w:val="non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60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Общеотраслевые должности служащих третьего уровня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none" w:color="000000" w:sz="4" w:space="0"/>
            </w:tcBorders>
            <w:tcW w:w="140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инженер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2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категории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инженер-сметчик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 категории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инженер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 охране труда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 категории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юрисконсульт 1-й категории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21 891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23 161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экономист 1-й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категории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21 891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23 161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ведущий инженер по охране окружающей среды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(эколог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24 871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26 314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"/>
        </w:trPr>
        <w:tc>
          <w:tcPr>
            <w:gridSpan w:val="5"/>
            <w:tcBorders>
              <w:right w:val="non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60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Общеотрас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левые должности служащих четвертого уровня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none" w:color="000000" w:sz="4" w:space="0"/>
            </w:tcBorders>
            <w:tcW w:w="140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2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8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1-й квалификационный уровень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2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начальник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35 904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37 986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909"/>
        <w:jc w:val="both"/>
        <w:spacing w:before="100" w:beforeAutospacing="1" w:after="100" w:afterAutospacing="1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________________________</w:t>
      </w:r>
      <w:r>
        <w:rPr>
          <w:color w:val="22272f"/>
          <w:sz w:val="23"/>
          <w:szCs w:val="23"/>
        </w:rPr>
      </w:r>
      <w:r>
        <w:rPr>
          <w:color w:val="22272f"/>
          <w:sz w:val="23"/>
          <w:szCs w:val="23"/>
        </w:rPr>
      </w:r>
    </w:p>
    <w:p>
      <w:pPr>
        <w:pStyle w:val="909"/>
        <w:jc w:val="both"/>
        <w:spacing w:line="276" w:lineRule="auto"/>
        <w:rPr>
          <w:color w:val="22272f"/>
        </w:rPr>
      </w:pPr>
      <w:r>
        <w:rPr>
          <w:color w:val="22272f"/>
          <w:vertAlign w:val="superscript"/>
        </w:rPr>
        <w:t xml:space="preserve">1</w:t>
      </w:r>
      <w:r>
        <w:rPr>
          <w:color w:val="22272f"/>
        </w:rPr>
        <w:t xml:space="preserve"> С учетом индексации должностных окладов на 9,5 </w:t>
      </w:r>
      <w:r>
        <w:rPr>
          <w:color w:val="22272f"/>
        </w:rPr>
        <w:t xml:space="preserve">% с 01 апреля 2025 г.</w:t>
      </w:r>
      <w:r>
        <w:rPr>
          <w:color w:val="22272f"/>
        </w:rPr>
      </w:r>
      <w:r>
        <w:rPr>
          <w:color w:val="22272f"/>
        </w:rPr>
      </w:r>
    </w:p>
    <w:p>
      <w:pPr>
        <w:pStyle w:val="9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color w:val="22272f"/>
          <w:vertAlign w:val="superscript"/>
        </w:rPr>
        <w:t xml:space="preserve">2</w:t>
      </w:r>
      <w:r>
        <w:rPr>
          <w:color w:val="22272f"/>
        </w:rPr>
        <w:t xml:space="preserve"> С учетом индексации должностных окладов на 5,8 % с 01 июля 2026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 в сфере санитарной очистки и содержания территории общего пользования города Перми, занимающих должности, включенные в профессиональные </w:t>
        <w:br w:type="textWrapping" w:clear="all"/>
        <w:t xml:space="preserve">квалификационные гру</w:t>
      </w:r>
      <w:r>
        <w:rPr>
          <w:rFonts w:eastAsia="Calibri"/>
          <w:b/>
          <w:bCs/>
          <w:sz w:val="28"/>
          <w:szCs w:val="28"/>
        </w:rPr>
        <w:t xml:space="preserve">ппы общеотраслевых должностей </w:t>
      </w:r>
      <w:r>
        <w:rPr>
          <w:b/>
          <w:bCs/>
          <w:sz w:val="28"/>
          <w:szCs w:val="28"/>
        </w:rPr>
        <w:t xml:space="preserve">профессий ра</w:t>
      </w:r>
      <w:r>
        <w:rPr>
          <w:b/>
          <w:bCs/>
          <w:sz w:val="28"/>
          <w:szCs w:val="28"/>
        </w:rPr>
        <w:t xml:space="preserve">бочих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0"/>
        <w:gridCol w:w="3124"/>
        <w:gridCol w:w="3356"/>
        <w:gridCol w:w="1604"/>
        <w:gridCol w:w="1601"/>
      </w:tblGrid>
      <w:tr>
        <w:tblPrEx/>
        <w:trPr>
          <w:cantSplit/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</w:t>
            </w:r>
            <w:bookmarkStart w:id="5" w:name="_Hlk211167397"/>
            <w:r>
              <w:rPr>
                <w:sz w:val="24"/>
                <w:szCs w:val="24"/>
              </w:rPr>
              <w:t xml:space="preserve">.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  <w:bookmarkEnd w:id="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0"/>
        <w:gridCol w:w="3124"/>
        <w:gridCol w:w="3356"/>
        <w:gridCol w:w="1604"/>
        <w:gridCol w:w="1319"/>
        <w:gridCol w:w="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Borders>
              <w:right w:val="non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60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«Общеотраслевые профессии рабочих первого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0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</w:t>
            </w:r>
            <w:r>
              <w:rPr>
                <w:sz w:val="24"/>
                <w:szCs w:val="24"/>
                <w:lang w:eastAsia="en-US"/>
              </w:rPr>
              <w:t xml:space="preserve">одсобный </w:t>
            </w:r>
            <w:r>
              <w:rPr>
                <w:sz w:val="24"/>
                <w:szCs w:val="24"/>
                <w:lang w:eastAsia="en-US"/>
              </w:rPr>
              <w:t xml:space="preserve">рабочий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12 747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-й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</w:t>
            </w:r>
            <w:r>
              <w:rPr>
                <w:sz w:val="24"/>
                <w:szCs w:val="24"/>
                <w:lang w:eastAsia="en-US"/>
              </w:rPr>
              <w:t xml:space="preserve">тарший </w:t>
            </w:r>
            <w:r>
              <w:rPr>
                <w:sz w:val="24"/>
                <w:szCs w:val="24"/>
                <w:lang w:eastAsia="en-US"/>
              </w:rPr>
              <w:t xml:space="preserve">кладовщик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Borders>
              <w:right w:val="non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60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рабочих второго уровня»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0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-й </w:t>
            </w: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слесарь</w:t>
            </w:r>
            <w:r>
              <w:rPr>
                <w:sz w:val="24"/>
                <w:szCs w:val="24"/>
                <w:lang w:eastAsia="en-US"/>
              </w:rPr>
              <w:t xml:space="preserve"> 5 разряда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15 708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слесарь-сантехник</w:t>
            </w:r>
            <w:r>
              <w:rPr>
                <w:sz w:val="24"/>
                <w:szCs w:val="24"/>
                <w:lang w:eastAsia="en-US"/>
              </w:rPr>
              <w:t xml:space="preserve"> 5 разряда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15 708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8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9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-й квалификационный уровень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6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водитель автомобиля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95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94" w:type="pct"/>
            <w:vAlign w:val="top"/>
            <w:textDirection w:val="lrTb"/>
            <w:noWrap w:val="false"/>
          </w:tcPr>
          <w:p>
            <w:pPr>
              <w:pStyle w:val="909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9"/>
        <w:jc w:val="both"/>
        <w:spacing w:before="100" w:beforeAutospacing="1" w:after="100" w:afterAutospacing="1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_____________________________</w:t>
      </w:r>
      <w:r>
        <w:rPr>
          <w:color w:val="22272f"/>
          <w:sz w:val="23"/>
          <w:szCs w:val="23"/>
        </w:rPr>
      </w:r>
      <w:r>
        <w:rPr>
          <w:color w:val="22272f"/>
          <w:sz w:val="23"/>
          <w:szCs w:val="23"/>
        </w:rPr>
      </w:r>
    </w:p>
    <w:p>
      <w:pPr>
        <w:pStyle w:val="909"/>
        <w:jc w:val="both"/>
        <w:spacing w:line="276" w:lineRule="auto"/>
        <w:rPr>
          <w:color w:val="22272f"/>
        </w:rPr>
      </w:pPr>
      <w:r>
        <w:rPr>
          <w:color w:val="22272f"/>
          <w:vertAlign w:val="superscript"/>
        </w:rPr>
        <w:t xml:space="preserve">1</w:t>
      </w:r>
      <w:r>
        <w:rPr>
          <w:color w:val="22272f"/>
        </w:rPr>
        <w:t xml:space="preserve"> С учетом индексации должностных окладов на 9,</w:t>
      </w:r>
      <w:r>
        <w:rPr>
          <w:color w:val="22272f"/>
        </w:rPr>
        <w:t xml:space="preserve">5 % с 01 апреля 2025 г.</w:t>
      </w:r>
      <w:r>
        <w:rPr>
          <w:color w:val="22272f"/>
        </w:rPr>
      </w:r>
      <w:r>
        <w:rPr>
          <w:color w:val="22272f"/>
        </w:rPr>
      </w:r>
    </w:p>
    <w:p>
      <w:pPr>
        <w:pStyle w:val="9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color w:val="22272f"/>
          <w:vertAlign w:val="superscript"/>
        </w:rPr>
        <w:t xml:space="preserve">2 </w:t>
      </w:r>
      <w:r>
        <w:rPr>
          <w:color w:val="22272f"/>
        </w:rPr>
        <w:t xml:space="preserve">С учетом индексации должностных окладов на 5,8 % с 01 июля 2026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6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6"/>
        <w:jc w:val="right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Таблица 3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6"/>
        <w:jc w:val="right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РАЗМЕРЫ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09"/>
        <w:jc w:val="center"/>
        <w:spacing w:line="240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должностных окладов работников муниципального учреждения в сфере </w:t>
        <w:br w:type="textWrapping" w:clear="all"/>
        <w:t xml:space="preserve">санитарной очистки и содержания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общего пользования города Перми, занимающих должности, не включенные в профессиональные </w:t>
        <w:br w:type="textWrapping" w:clear="all"/>
        <w:t xml:space="preserve">квалификационные группы общеотраслевых должностей руководи</w:t>
      </w:r>
      <w:r>
        <w:rPr>
          <w:rFonts w:eastAsia="Calibri"/>
          <w:b/>
          <w:sz w:val="28"/>
          <w:szCs w:val="28"/>
          <w:lang w:eastAsia="en-US"/>
        </w:rPr>
        <w:t xml:space="preserve">телей, специалистов и служащих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1"/>
        <w:gridCol w:w="4524"/>
        <w:gridCol w:w="2576"/>
        <w:gridCol w:w="2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должности, профессии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</w:t>
            </w:r>
            <w:r>
              <w:rPr>
                <w:sz w:val="24"/>
                <w:szCs w:val="24"/>
              </w:rPr>
              <w:t xml:space="preserve">лад, руб. </w:t>
            </w:r>
            <w:r>
              <w:rPr>
                <w:sz w:val="17"/>
                <w:szCs w:val="17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Рабочий на разгрузочной площадке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15 708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16 619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Помощник руководителя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закупкам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21 891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23 161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по учет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 и расчетам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21 891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23 161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Системный администратор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22 004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23 280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ливневой канализации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22 004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23 280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43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начальника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28 050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6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677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909"/>
        <w:jc w:val="both"/>
        <w:spacing w:before="100" w:beforeAutospacing="1" w:after="100" w:afterAutospacing="1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_____________________________</w:t>
      </w:r>
      <w:r>
        <w:rPr>
          <w:color w:val="22272f"/>
          <w:sz w:val="23"/>
          <w:szCs w:val="23"/>
        </w:rPr>
      </w:r>
      <w:r>
        <w:rPr>
          <w:color w:val="22272f"/>
          <w:sz w:val="23"/>
          <w:szCs w:val="23"/>
        </w:rPr>
      </w:r>
    </w:p>
    <w:p>
      <w:pPr>
        <w:pStyle w:val="909"/>
        <w:jc w:val="both"/>
        <w:spacing w:line="276" w:lineRule="auto"/>
        <w:rPr>
          <w:color w:val="22272f"/>
        </w:rPr>
      </w:pPr>
      <w:r>
        <w:rPr>
          <w:color w:val="22272f"/>
          <w:vertAlign w:val="superscript"/>
        </w:rPr>
        <w:t xml:space="preserve">1</w:t>
      </w:r>
      <w:r>
        <w:rPr>
          <w:color w:val="22272f"/>
        </w:rPr>
        <w:t xml:space="preserve"> С учетом индексации должностных окладов на 9,5 </w:t>
      </w:r>
      <w:r>
        <w:rPr>
          <w:color w:val="22272f"/>
        </w:rPr>
        <w:t xml:space="preserve">% с 01 апреля 2025 г.</w:t>
      </w:r>
      <w:r>
        <w:rPr>
          <w:color w:val="22272f"/>
        </w:rPr>
      </w:r>
      <w:r>
        <w:rPr>
          <w:color w:val="22272f"/>
        </w:rPr>
      </w:r>
    </w:p>
    <w:p>
      <w:pPr>
        <w:pStyle w:val="9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color w:val="22272f"/>
          <w:vertAlign w:val="superscript"/>
        </w:rPr>
        <w:t xml:space="preserve">2</w:t>
      </w:r>
      <w:r>
        <w:rPr>
          <w:color w:val="22272f"/>
        </w:rPr>
        <w:t xml:space="preserve"> С учетом индексации должностных окладов на 5,8 % с 01 июля 2026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</w:t>
      </w:r>
      <w:r>
        <w:rPr>
          <w:b/>
          <w:sz w:val="28"/>
          <w:szCs w:val="28"/>
        </w:rPr>
        <w:t xml:space="preserve">ния в сфере санитарной очистки и содержания тер</w:t>
      </w:r>
      <w:r>
        <w:rPr>
          <w:b/>
          <w:sz w:val="28"/>
          <w:szCs w:val="28"/>
        </w:rPr>
        <w:t xml:space="preserve">ритории общего пользования города Перми, занимающих должности, не включенные в профессиональные </w:t>
        <w:br w:type="textWrapping" w:clear="all"/>
        <w:t xml:space="preserve">квалификационные группы общеотраслевых 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09"/>
        <w:gridCol w:w="4508"/>
        <w:gridCol w:w="2584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3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должности, профессии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</w:t>
            </w:r>
            <w:r>
              <w:rPr>
                <w:sz w:val="24"/>
                <w:szCs w:val="24"/>
              </w:rPr>
              <w:t xml:space="preserve">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</w:t>
            </w:r>
            <w:r>
              <w:rPr>
                <w:sz w:val="24"/>
                <w:szCs w:val="24"/>
              </w:rPr>
              <w:t xml:space="preserve">руб. </w:t>
            </w:r>
            <w:r>
              <w:rPr>
                <w:sz w:val="17"/>
                <w:szCs w:val="17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3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3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Машинист экскаватора 7 разряда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03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235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Машинист бульдозера 7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разряда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19 448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81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20 576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909"/>
        <w:jc w:val="both"/>
        <w:spacing w:before="100" w:beforeAutospacing="1" w:after="100" w:afterAutospacing="1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_____________________________</w:t>
      </w:r>
      <w:r>
        <w:rPr>
          <w:color w:val="22272f"/>
          <w:sz w:val="23"/>
          <w:szCs w:val="23"/>
        </w:rPr>
      </w:r>
      <w:r>
        <w:rPr>
          <w:color w:val="22272f"/>
          <w:sz w:val="23"/>
          <w:szCs w:val="23"/>
        </w:rPr>
      </w:r>
    </w:p>
    <w:p>
      <w:pPr>
        <w:pStyle w:val="909"/>
        <w:jc w:val="both"/>
        <w:spacing w:line="276" w:lineRule="auto"/>
        <w:rPr>
          <w:color w:val="22272f"/>
        </w:rPr>
      </w:pPr>
      <w:r>
        <w:rPr>
          <w:color w:val="22272f"/>
          <w:vertAlign w:val="superscript"/>
        </w:rPr>
        <w:t xml:space="preserve">1</w:t>
      </w:r>
      <w:r>
        <w:rPr>
          <w:color w:val="22272f"/>
        </w:rPr>
        <w:t xml:space="preserve"> С учетом индексации должностных окладов на 9,5 </w:t>
      </w:r>
      <w:r>
        <w:rPr>
          <w:color w:val="22272f"/>
        </w:rPr>
        <w:t xml:space="preserve">% с 01 апреля 2025 г.</w:t>
      </w:r>
      <w:r>
        <w:rPr>
          <w:color w:val="22272f"/>
        </w:rPr>
      </w:r>
      <w:r>
        <w:rPr>
          <w:color w:val="22272f"/>
        </w:rPr>
      </w:r>
    </w:p>
    <w:p>
      <w:pPr>
        <w:pStyle w:val="9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color w:val="22272f"/>
          <w:vertAlign w:val="superscript"/>
        </w:rPr>
        <w:t xml:space="preserve">2</w:t>
      </w:r>
      <w:r>
        <w:rPr>
          <w:color w:val="22272f"/>
        </w:rPr>
        <w:t xml:space="preserve"> С учетом индексации должностных окладов на 5,8 % с 01 июля 2026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ind w:right="-3"/>
        <w:jc w:val="right"/>
        <w:spacing w:after="160"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Таблица 5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9"/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РАЗМЕРЫ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09"/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должностных окладов директора, заместителя директора, главного инженера муниципального </w:t>
      </w:r>
      <w:r>
        <w:rPr>
          <w:rFonts w:eastAsia="Calibri"/>
          <w:b/>
          <w:sz w:val="28"/>
          <w:szCs w:val="28"/>
          <w:lang w:eastAsia="en-US"/>
        </w:rPr>
        <w:t xml:space="preserve">учреждения в сфере санитарной очистки и содержания территории общего пользования го</w:t>
      </w:r>
      <w:r>
        <w:rPr>
          <w:rFonts w:eastAsia="Calibri"/>
          <w:b/>
          <w:sz w:val="28"/>
          <w:szCs w:val="28"/>
          <w:lang w:eastAsia="en-US"/>
        </w:rPr>
        <w:t xml:space="preserve">рода Перми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9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56"/>
        <w:gridCol w:w="2650"/>
        <w:gridCol w:w="3515"/>
        <w:gridCol w:w="3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"/>
        </w:trPr>
        <w:tc>
          <w:tcPr>
            <w:tcW w:w="22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30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должности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Должностной оклад, руб. </w:t>
            </w:r>
            <w:r>
              <w:rPr>
                <w:sz w:val="17"/>
                <w:szCs w:val="17"/>
                <w:vertAlign w:val="superscript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22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307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"/>
        </w:trPr>
        <w:tc>
          <w:tcPr>
            <w:tcW w:w="22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307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44 630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47 219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"/>
        </w:trPr>
        <w:tc>
          <w:tcPr>
            <w:tcW w:w="22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307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директора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40 579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42 933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W w:w="225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307" w:type="pct"/>
            <w:vAlign w:val="top"/>
            <w:textDirection w:val="lrTb"/>
            <w:noWrap w:val="false"/>
          </w:tcPr>
          <w:p>
            <w:pPr>
              <w:pStyle w:val="90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Главный инженер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40 579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34" w:type="pct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42 933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909"/>
        <w:jc w:val="both"/>
        <w:spacing w:before="100" w:beforeAutospacing="1" w:after="100" w:afterAutospacing="1"/>
        <w:shd w:val="clear" w:color="auto" w:fill="ffffff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_____________________________</w:t>
      </w:r>
      <w:r>
        <w:rPr>
          <w:color w:val="22272f"/>
          <w:sz w:val="23"/>
          <w:szCs w:val="23"/>
        </w:rPr>
      </w:r>
      <w:r>
        <w:rPr>
          <w:color w:val="22272f"/>
          <w:sz w:val="23"/>
          <w:szCs w:val="23"/>
        </w:rPr>
      </w:r>
    </w:p>
    <w:p>
      <w:pPr>
        <w:pStyle w:val="909"/>
        <w:jc w:val="both"/>
        <w:spacing w:line="276" w:lineRule="auto"/>
        <w:rPr>
          <w:color w:val="22272f"/>
        </w:rPr>
      </w:pPr>
      <w:r>
        <w:rPr>
          <w:color w:val="22272f"/>
          <w:vertAlign w:val="superscript"/>
        </w:rPr>
        <w:t xml:space="preserve">1</w:t>
      </w:r>
      <w:r>
        <w:rPr>
          <w:color w:val="22272f"/>
        </w:rPr>
        <w:t xml:space="preserve"> С учетом индексации должностных окладов на 9,5 </w:t>
      </w:r>
      <w:r>
        <w:rPr>
          <w:color w:val="22272f"/>
        </w:rPr>
        <w:t xml:space="preserve">% с 01 апреля 2025 г.</w:t>
      </w:r>
      <w:r>
        <w:rPr>
          <w:color w:val="22272f"/>
        </w:rPr>
      </w:r>
      <w:r>
        <w:rPr>
          <w:color w:val="22272f"/>
        </w:rPr>
      </w:r>
    </w:p>
    <w:p>
      <w:pPr>
        <w:pStyle w:val="9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color w:val="22272f"/>
          <w:vertAlign w:val="superscript"/>
        </w:rPr>
        <w:t xml:space="preserve">2</w:t>
      </w:r>
      <w:r>
        <w:rPr>
          <w:color w:val="22272f"/>
        </w:rPr>
        <w:t xml:space="preserve"> С учетом индексации должностных окладов на 5,8 % с 01 июля 2026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25"/>
        <w:ind w:left="0"/>
        <w:spacing w:line="240" w:lineRule="exact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567" w:bottom="1134" w:left="1418" w:header="397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left="5670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left="5670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системе оплаты труда работников </w:t>
      </w:r>
      <w:r>
        <w:rPr>
          <w:rFonts w:ascii="Times New Roman" w:hAnsi="Times New Roman"/>
          <w:sz w:val="28"/>
          <w:szCs w:val="28"/>
        </w:rPr>
        <w:t xml:space="preserve">муниципального учреждения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сфере санитарной очистки и содержания территории общего</w:t>
      </w:r>
      <w:r>
        <w:rPr>
          <w:rFonts w:ascii="Times New Roman" w:hAnsi="Times New Roman"/>
          <w:sz w:val="28"/>
          <w:szCs w:val="28"/>
        </w:rPr>
        <w:t xml:space="preserve"> пользования города Перми</w:t>
      </w:r>
      <w:r>
        <w:rPr>
          <w:rFonts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КОЛИЧЕСТВО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окладов, применяемых для фо</w:t>
      </w:r>
      <w:r>
        <w:rPr>
          <w:rFonts w:ascii="Times New Roman" w:hAnsi="Times New Roman"/>
          <w:b/>
          <w:bCs/>
          <w:sz w:val="28"/>
          <w:szCs w:val="28"/>
        </w:rPr>
        <w:t xml:space="preserve">рмирования фонда оплаты труда </w:t>
      </w:r>
      <w:r>
        <w:rPr>
          <w:rFonts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учреждения в </w:t>
      </w:r>
      <w:r>
        <w:rPr>
          <w:rFonts w:ascii="Times New Roman" w:hAnsi="Times New Roman"/>
          <w:b/>
          <w:bCs/>
          <w:sz w:val="28"/>
          <w:szCs w:val="28"/>
        </w:rPr>
        <w:t xml:space="preserve">сфере санитарной очистки и содержания территории общего пользования гор</w:t>
      </w:r>
      <w:r>
        <w:rPr>
          <w:rFonts w:ascii="Times New Roman" w:hAnsi="Times New Roman"/>
          <w:b/>
          <w:bCs/>
          <w:sz w:val="28"/>
          <w:szCs w:val="28"/>
        </w:rPr>
        <w:t xml:space="preserve">ода Перми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5"/>
        <w:jc w:val="center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005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6"/>
        <w:gridCol w:w="1748"/>
        <w:gridCol w:w="992"/>
        <w:gridCol w:w="1654"/>
        <w:gridCol w:w="1323"/>
        <w:gridCol w:w="1417"/>
        <w:gridCol w:w="1559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</w:t>
            </w: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вание должности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</w:t>
            </w:r>
            <w:r>
              <w:rPr>
                <w:sz w:val="24"/>
                <w:szCs w:val="28"/>
              </w:rPr>
              <w:t xml:space="preserve">е</w:t>
            </w:r>
            <w:r>
              <w:rPr>
                <w:sz w:val="24"/>
                <w:szCs w:val="28"/>
              </w:rPr>
              <w:t xml:space="preserve">ство должностны</w:t>
            </w:r>
            <w:r>
              <w:rPr>
                <w:sz w:val="24"/>
                <w:szCs w:val="28"/>
              </w:rPr>
              <w:t xml:space="preserve">х окладов в год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окладов выплат ко</w:t>
            </w:r>
            <w:r>
              <w:rPr>
                <w:sz w:val="24"/>
                <w:szCs w:val="28"/>
              </w:rPr>
              <w:t xml:space="preserve">м</w:t>
            </w:r>
            <w:r>
              <w:rPr>
                <w:sz w:val="24"/>
                <w:szCs w:val="28"/>
              </w:rPr>
              <w:t xml:space="preserve">пенсационного характера</w:t>
            </w:r>
            <w:r>
              <w:rPr>
                <w:sz w:val="24"/>
                <w:szCs w:val="28"/>
              </w:rPr>
              <w:t xml:space="preserve"> без учета в</w:t>
            </w:r>
            <w:r>
              <w:rPr>
                <w:sz w:val="24"/>
                <w:szCs w:val="28"/>
              </w:rPr>
              <w:t xml:space="preserve">ы</w:t>
            </w:r>
            <w:r>
              <w:rPr>
                <w:sz w:val="24"/>
                <w:szCs w:val="28"/>
              </w:rPr>
              <w:t xml:space="preserve">платы за работу в местностях</w:t>
              <w:br w:type="textWrapping" w:clear="all"/>
            </w:r>
            <w:r>
              <w:rPr>
                <w:sz w:val="24"/>
                <w:szCs w:val="28"/>
              </w:rPr>
              <w:t xml:space="preserve">с особыми климатическими условиями (районный коэфф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циент)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gridSpan w:val="2"/>
            <w:tcMar>
              <w:left w:w="57" w:type="dxa"/>
              <w:top w:w="57" w:type="dxa"/>
              <w:right w:w="57" w:type="dxa"/>
              <w:bottom w:w="57" w:type="dxa"/>
            </w:tcMar>
            <w:tcW w:w="2740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окладов стимулирующ</w:t>
            </w:r>
            <w:r>
              <w:rPr>
                <w:sz w:val="24"/>
                <w:szCs w:val="28"/>
              </w:rPr>
              <w:t xml:space="preserve">их выплат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</w:t>
            </w:r>
            <w:r>
              <w:rPr>
                <w:sz w:val="24"/>
                <w:szCs w:val="28"/>
              </w:rPr>
              <w:t xml:space="preserve">е</w:t>
            </w:r>
            <w:r>
              <w:rPr>
                <w:sz w:val="24"/>
                <w:szCs w:val="28"/>
              </w:rPr>
              <w:t xml:space="preserve">ство окладов по социал</w:t>
            </w:r>
            <w:r>
              <w:rPr>
                <w:sz w:val="24"/>
                <w:szCs w:val="28"/>
              </w:rPr>
              <w:t xml:space="preserve">ь</w:t>
            </w:r>
            <w:r>
              <w:rPr>
                <w:sz w:val="24"/>
                <w:szCs w:val="28"/>
              </w:rPr>
              <w:t xml:space="preserve">ным выпл</w:t>
            </w:r>
            <w:r>
              <w:rPr>
                <w:sz w:val="24"/>
                <w:szCs w:val="28"/>
              </w:rPr>
              <w:t xml:space="preserve">а</w:t>
            </w:r>
            <w:r>
              <w:rPr>
                <w:sz w:val="24"/>
                <w:szCs w:val="28"/>
              </w:rPr>
              <w:t xml:space="preserve">там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Всего </w:t>
            </w:r>
            <w:r>
              <w:rPr>
                <w:sz w:val="24"/>
                <w:szCs w:val="28"/>
              </w:rPr>
              <w:t xml:space="preserve">окладов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всего</w:t>
            </w:r>
            <w:r>
              <w:rPr>
                <w:sz w:val="24"/>
                <w:szCs w:val="28"/>
              </w:rPr>
              <w:t xml:space="preserve"> колич</w:t>
            </w:r>
            <w:r>
              <w:rPr>
                <w:sz w:val="24"/>
                <w:szCs w:val="28"/>
              </w:rPr>
              <w:t xml:space="preserve">е</w:t>
            </w:r>
            <w:r>
              <w:rPr>
                <w:sz w:val="24"/>
                <w:szCs w:val="28"/>
              </w:rPr>
              <w:t xml:space="preserve">ство окладов стимул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ру</w:t>
            </w:r>
            <w:r>
              <w:rPr>
                <w:sz w:val="24"/>
                <w:szCs w:val="28"/>
              </w:rPr>
              <w:t xml:space="preserve">ю</w:t>
            </w:r>
            <w:r>
              <w:rPr>
                <w:sz w:val="24"/>
                <w:szCs w:val="28"/>
              </w:rPr>
              <w:t xml:space="preserve">щих выплат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том чи</w:t>
            </w:r>
            <w:r>
              <w:rPr>
                <w:sz w:val="24"/>
                <w:szCs w:val="28"/>
              </w:rPr>
              <w:t xml:space="preserve">с</w:t>
            </w:r>
            <w:r>
              <w:rPr>
                <w:sz w:val="24"/>
                <w:szCs w:val="28"/>
              </w:rPr>
              <w:t xml:space="preserve">ле</w:t>
            </w:r>
            <w:r>
              <w:rPr>
                <w:sz w:val="24"/>
                <w:szCs w:val="28"/>
              </w:rPr>
              <w:t xml:space="preserve"> кол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чество окладов премиал</w:t>
            </w:r>
            <w:r>
              <w:rPr>
                <w:sz w:val="24"/>
                <w:szCs w:val="28"/>
              </w:rPr>
              <w:t xml:space="preserve">ь</w:t>
            </w:r>
            <w:r>
              <w:rPr>
                <w:sz w:val="24"/>
                <w:szCs w:val="28"/>
              </w:rPr>
              <w:t xml:space="preserve">ных в</w:t>
            </w:r>
            <w:r>
              <w:rPr>
                <w:sz w:val="24"/>
                <w:szCs w:val="28"/>
              </w:rPr>
              <w:t xml:space="preserve">ы</w:t>
            </w:r>
            <w:r>
              <w:rPr>
                <w:sz w:val="24"/>
                <w:szCs w:val="28"/>
              </w:rPr>
              <w:t xml:space="preserve">плат по итогам р</w:t>
            </w:r>
            <w:r>
              <w:rPr>
                <w:sz w:val="24"/>
                <w:szCs w:val="28"/>
              </w:rPr>
              <w:t xml:space="preserve">а</w:t>
            </w:r>
            <w:r>
              <w:rPr>
                <w:sz w:val="24"/>
                <w:szCs w:val="28"/>
              </w:rPr>
              <w:t xml:space="preserve">боты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за счет средств, поступающих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предпринимательской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иной приносящей доход деятельности Учреждения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49,2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аместитель директора, главный инженер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за счет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ждения,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искл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чением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главного инженера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14,5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58,4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48" w:type="dxa"/>
            <w:vAlign w:val="top"/>
            <w:textDirection w:val="lrTb"/>
            <w:noWrap w:val="false"/>
          </w:tcPr>
          <w:p>
            <w:pPr>
              <w:pStyle w:val="9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за счет средств бюджета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54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14,5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909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4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46,4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</w:tbl>
    <w:p>
      <w:r/>
      <w:r/>
    </w:p>
    <w:sectPr>
      <w:footnotePr/>
      <w:endnotePr/>
      <w:type w:val="nextPage"/>
      <w:pgSz w:w="11905" w:h="16838" w:orient="portrait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lang w:val="ru-RU" w:eastAsia="ru-RU" w:bidi="ar-SA"/>
    </w:rPr>
  </w:style>
  <w:style w:type="paragraph" w:styleId="910">
    <w:name w:val="Заголовок 1"/>
    <w:basedOn w:val="909"/>
    <w:next w:val="909"/>
    <w:link w:val="909"/>
    <w:qFormat/>
    <w:pPr>
      <w:ind w:right="-1" w:firstLine="709"/>
      <w:jc w:val="both"/>
      <w:keepNext/>
      <w:outlineLvl w:val="0"/>
    </w:pPr>
    <w:rPr>
      <w:sz w:val="24"/>
    </w:rPr>
  </w:style>
  <w:style w:type="paragraph" w:styleId="911">
    <w:name w:val="Заголовок 2"/>
    <w:basedOn w:val="909"/>
    <w:next w:val="909"/>
    <w:link w:val="909"/>
    <w:qFormat/>
    <w:pPr>
      <w:ind w:right="-1"/>
      <w:jc w:val="both"/>
      <w:keepNext/>
      <w:outlineLvl w:val="1"/>
    </w:pPr>
    <w:rPr>
      <w:sz w:val="24"/>
    </w:rPr>
  </w:style>
  <w:style w:type="character" w:styleId="912">
    <w:name w:val="Основной шрифт абзаца"/>
    <w:next w:val="912"/>
    <w:link w:val="909"/>
    <w:semiHidden/>
  </w:style>
  <w:style w:type="table" w:styleId="913">
    <w:name w:val="Обычная таблица"/>
    <w:next w:val="913"/>
    <w:link w:val="909"/>
    <w:semiHidden/>
    <w:tblPr/>
  </w:style>
  <w:style w:type="numbering" w:styleId="914">
    <w:name w:val="Нет списка"/>
    <w:next w:val="914"/>
    <w:link w:val="909"/>
    <w:uiPriority w:val="99"/>
    <w:semiHidden/>
  </w:style>
  <w:style w:type="paragraph" w:styleId="915">
    <w:name w:val="Название объекта"/>
    <w:basedOn w:val="909"/>
    <w:next w:val="909"/>
    <w:link w:val="90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6">
    <w:name w:val="Основной текст"/>
    <w:basedOn w:val="909"/>
    <w:next w:val="916"/>
    <w:link w:val="944"/>
    <w:pPr>
      <w:ind w:right="3117"/>
    </w:pPr>
    <w:rPr>
      <w:rFonts w:ascii="Courier New" w:hAnsi="Courier New"/>
      <w:sz w:val="26"/>
      <w:lang w:val="en-US" w:eastAsia="en-US"/>
    </w:rPr>
  </w:style>
  <w:style w:type="paragraph" w:styleId="917">
    <w:name w:val="Основной текст с отступом"/>
    <w:basedOn w:val="909"/>
    <w:next w:val="917"/>
    <w:link w:val="909"/>
    <w:pPr>
      <w:ind w:right="-1"/>
      <w:jc w:val="both"/>
    </w:pPr>
    <w:rPr>
      <w:sz w:val="26"/>
    </w:rPr>
  </w:style>
  <w:style w:type="paragraph" w:styleId="918">
    <w:name w:val="Нижний колонтитул"/>
    <w:basedOn w:val="909"/>
    <w:next w:val="918"/>
    <w:link w:val="1003"/>
    <w:uiPriority w:val="99"/>
    <w:pPr>
      <w:tabs>
        <w:tab w:val="center" w:pos="4153" w:leader="none"/>
        <w:tab w:val="right" w:pos="8306" w:leader="none"/>
      </w:tabs>
    </w:pPr>
  </w:style>
  <w:style w:type="character" w:styleId="919">
    <w:name w:val="Номер страницы"/>
    <w:basedOn w:val="912"/>
    <w:next w:val="919"/>
    <w:link w:val="909"/>
  </w:style>
  <w:style w:type="paragraph" w:styleId="920">
    <w:name w:val="Верхний колонтитул"/>
    <w:basedOn w:val="909"/>
    <w:next w:val="920"/>
    <w:link w:val="923"/>
    <w:uiPriority w:val="99"/>
    <w:pPr>
      <w:tabs>
        <w:tab w:val="center" w:pos="4153" w:leader="none"/>
        <w:tab w:val="right" w:pos="8306" w:leader="none"/>
      </w:tabs>
    </w:pPr>
  </w:style>
  <w:style w:type="paragraph" w:styleId="921">
    <w:name w:val="Текст выноски"/>
    <w:basedOn w:val="909"/>
    <w:next w:val="921"/>
    <w:link w:val="922"/>
    <w:uiPriority w:val="99"/>
    <w:rPr>
      <w:rFonts w:ascii="Segoe UI" w:hAnsi="Segoe UI"/>
      <w:sz w:val="18"/>
      <w:szCs w:val="18"/>
      <w:lang w:val="en-US" w:eastAsia="en-US"/>
    </w:rPr>
  </w:style>
  <w:style w:type="character" w:styleId="922">
    <w:name w:val="Текст выноски Знак"/>
    <w:next w:val="922"/>
    <w:link w:val="921"/>
    <w:uiPriority w:val="99"/>
    <w:rPr>
      <w:rFonts w:ascii="Segoe UI" w:hAnsi="Segoe UI" w:cs="Segoe UI"/>
      <w:sz w:val="18"/>
      <w:szCs w:val="18"/>
    </w:rPr>
  </w:style>
  <w:style w:type="character" w:styleId="923">
    <w:name w:val="Верхний колонтитул Знак"/>
    <w:next w:val="923"/>
    <w:link w:val="920"/>
    <w:uiPriority w:val="99"/>
  </w:style>
  <w:style w:type="numbering" w:styleId="924">
    <w:name w:val="Нет списка1"/>
    <w:next w:val="914"/>
    <w:link w:val="909"/>
    <w:uiPriority w:val="99"/>
    <w:semiHidden/>
    <w:unhideWhenUsed/>
  </w:style>
  <w:style w:type="paragraph" w:styleId="925">
    <w:name w:val="Без интервала"/>
    <w:next w:val="925"/>
    <w:link w:val="909"/>
    <w:uiPriority w:val="99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6">
    <w:name w:val="Гиперссылка"/>
    <w:next w:val="926"/>
    <w:link w:val="909"/>
    <w:uiPriority w:val="99"/>
    <w:unhideWhenUsed/>
    <w:rPr>
      <w:color w:val="0000ff"/>
      <w:u w:val="single"/>
    </w:rPr>
  </w:style>
  <w:style w:type="character" w:styleId="927">
    <w:name w:val="Просмотренная гиперссылка"/>
    <w:next w:val="927"/>
    <w:link w:val="909"/>
    <w:uiPriority w:val="99"/>
    <w:unhideWhenUsed/>
    <w:rPr>
      <w:color w:val="800080"/>
      <w:u w:val="single"/>
    </w:rPr>
  </w:style>
  <w:style w:type="paragraph" w:styleId="928">
    <w:name w:val="xl65"/>
    <w:basedOn w:val="909"/>
    <w:next w:val="92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66"/>
    <w:basedOn w:val="909"/>
    <w:next w:val="92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xl67"/>
    <w:basedOn w:val="909"/>
    <w:next w:val="93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68"/>
    <w:basedOn w:val="909"/>
    <w:next w:val="93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>
    <w:name w:val="xl69"/>
    <w:basedOn w:val="909"/>
    <w:next w:val="93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>
    <w:name w:val="xl70"/>
    <w:basedOn w:val="909"/>
    <w:next w:val="93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>
    <w:name w:val="xl71"/>
    <w:basedOn w:val="909"/>
    <w:next w:val="93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2"/>
    <w:basedOn w:val="909"/>
    <w:next w:val="935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3"/>
    <w:basedOn w:val="909"/>
    <w:next w:val="93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>
    <w:name w:val="xl74"/>
    <w:basedOn w:val="909"/>
    <w:next w:val="93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5"/>
    <w:basedOn w:val="909"/>
    <w:next w:val="938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76"/>
    <w:basedOn w:val="909"/>
    <w:next w:val="93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>
    <w:name w:val="xl77"/>
    <w:basedOn w:val="909"/>
    <w:next w:val="940"/>
    <w:link w:val="9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xl78"/>
    <w:basedOn w:val="909"/>
    <w:next w:val="941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>
    <w:name w:val="xl79"/>
    <w:basedOn w:val="909"/>
    <w:next w:val="942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>
    <w:name w:val="Форма"/>
    <w:next w:val="943"/>
    <w:link w:val="909"/>
    <w:rPr>
      <w:sz w:val="28"/>
      <w:szCs w:val="28"/>
      <w:lang w:val="ru-RU" w:eastAsia="ru-RU" w:bidi="ar-SA"/>
    </w:rPr>
  </w:style>
  <w:style w:type="character" w:styleId="944">
    <w:name w:val="Основной текст Знак"/>
    <w:next w:val="944"/>
    <w:link w:val="916"/>
    <w:rPr>
      <w:rFonts w:ascii="Courier New" w:hAnsi="Courier New"/>
      <w:sz w:val="26"/>
    </w:rPr>
  </w:style>
  <w:style w:type="paragraph" w:styleId="945">
    <w:name w:val="ConsPlusNormal"/>
    <w:next w:val="945"/>
    <w:link w:val="909"/>
    <w:rPr>
      <w:sz w:val="28"/>
      <w:szCs w:val="28"/>
      <w:lang w:val="ru-RU" w:eastAsia="ru-RU" w:bidi="ar-SA"/>
    </w:rPr>
  </w:style>
  <w:style w:type="numbering" w:styleId="946">
    <w:name w:val="Нет списка11"/>
    <w:next w:val="914"/>
    <w:link w:val="909"/>
    <w:uiPriority w:val="99"/>
    <w:semiHidden/>
    <w:unhideWhenUsed/>
  </w:style>
  <w:style w:type="numbering" w:styleId="947">
    <w:name w:val="Нет списка111"/>
    <w:next w:val="914"/>
    <w:link w:val="909"/>
    <w:uiPriority w:val="99"/>
    <w:semiHidden/>
    <w:unhideWhenUsed/>
  </w:style>
  <w:style w:type="paragraph" w:styleId="948">
    <w:name w:val="font5"/>
    <w:basedOn w:val="909"/>
    <w:next w:val="948"/>
    <w:link w:val="9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9">
    <w:name w:val="xl80"/>
    <w:basedOn w:val="909"/>
    <w:next w:val="94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0">
    <w:name w:val="xl81"/>
    <w:basedOn w:val="909"/>
    <w:next w:val="95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1">
    <w:name w:val="xl82"/>
    <w:basedOn w:val="909"/>
    <w:next w:val="951"/>
    <w:link w:val="90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2">
    <w:name w:val="Сетка таблицы"/>
    <w:basedOn w:val="913"/>
    <w:next w:val="952"/>
    <w:link w:val="90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3">
    <w:name w:val="xl83"/>
    <w:basedOn w:val="909"/>
    <w:next w:val="953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84"/>
    <w:basedOn w:val="909"/>
    <w:next w:val="954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>
    <w:name w:val="xl85"/>
    <w:basedOn w:val="909"/>
    <w:next w:val="955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>
    <w:name w:val="xl86"/>
    <w:basedOn w:val="909"/>
    <w:next w:val="956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>
    <w:name w:val="xl87"/>
    <w:basedOn w:val="909"/>
    <w:next w:val="957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>
    <w:name w:val="xl88"/>
    <w:basedOn w:val="909"/>
    <w:next w:val="958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>
    <w:name w:val="xl89"/>
    <w:basedOn w:val="909"/>
    <w:next w:val="959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90"/>
    <w:basedOn w:val="909"/>
    <w:next w:val="960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91"/>
    <w:basedOn w:val="909"/>
    <w:next w:val="961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2"/>
    <w:basedOn w:val="909"/>
    <w:next w:val="962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>
    <w:name w:val="xl93"/>
    <w:basedOn w:val="909"/>
    <w:next w:val="963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>
    <w:name w:val="xl94"/>
    <w:basedOn w:val="909"/>
    <w:next w:val="964"/>
    <w:link w:val="90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5"/>
    <w:basedOn w:val="909"/>
    <w:next w:val="965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6"/>
    <w:basedOn w:val="909"/>
    <w:next w:val="966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7"/>
    <w:basedOn w:val="909"/>
    <w:next w:val="967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>
    <w:name w:val="xl98"/>
    <w:basedOn w:val="909"/>
    <w:next w:val="96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9">
    <w:name w:val="xl99"/>
    <w:basedOn w:val="909"/>
    <w:next w:val="969"/>
    <w:link w:val="90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100"/>
    <w:basedOn w:val="909"/>
    <w:next w:val="970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1"/>
    <w:basedOn w:val="909"/>
    <w:next w:val="971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2"/>
    <w:basedOn w:val="909"/>
    <w:next w:val="972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3"/>
    <w:basedOn w:val="909"/>
    <w:next w:val="973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4"/>
    <w:basedOn w:val="909"/>
    <w:next w:val="974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5"/>
    <w:basedOn w:val="909"/>
    <w:next w:val="975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6"/>
    <w:basedOn w:val="909"/>
    <w:next w:val="976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7">
    <w:name w:val="xl107"/>
    <w:basedOn w:val="909"/>
    <w:next w:val="977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8"/>
    <w:basedOn w:val="909"/>
    <w:next w:val="978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9"/>
    <w:basedOn w:val="909"/>
    <w:next w:val="979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0"/>
    <w:basedOn w:val="909"/>
    <w:next w:val="980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1"/>
    <w:basedOn w:val="909"/>
    <w:next w:val="981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2"/>
    <w:basedOn w:val="909"/>
    <w:next w:val="982"/>
    <w:link w:val="90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3">
    <w:name w:val="xl113"/>
    <w:basedOn w:val="909"/>
    <w:next w:val="983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4"/>
    <w:basedOn w:val="909"/>
    <w:next w:val="984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5"/>
    <w:basedOn w:val="909"/>
    <w:next w:val="985"/>
    <w:link w:val="9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6">
    <w:name w:val="xl116"/>
    <w:basedOn w:val="909"/>
    <w:next w:val="986"/>
    <w:link w:val="9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7"/>
    <w:basedOn w:val="909"/>
    <w:next w:val="987"/>
    <w:link w:val="90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18"/>
    <w:basedOn w:val="909"/>
    <w:next w:val="98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9"/>
    <w:basedOn w:val="909"/>
    <w:next w:val="989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20"/>
    <w:basedOn w:val="909"/>
    <w:next w:val="99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1"/>
    <w:basedOn w:val="909"/>
    <w:next w:val="991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2"/>
    <w:basedOn w:val="909"/>
    <w:next w:val="992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23"/>
    <w:basedOn w:val="909"/>
    <w:next w:val="993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>
    <w:name w:val="xl124"/>
    <w:basedOn w:val="909"/>
    <w:next w:val="994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>
    <w:name w:val="xl125"/>
    <w:basedOn w:val="909"/>
    <w:next w:val="995"/>
    <w:link w:val="9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6">
    <w:name w:val="Нет списка2"/>
    <w:next w:val="914"/>
    <w:link w:val="909"/>
    <w:uiPriority w:val="99"/>
    <w:semiHidden/>
    <w:unhideWhenUsed/>
  </w:style>
  <w:style w:type="numbering" w:styleId="997">
    <w:name w:val="Нет списка3"/>
    <w:next w:val="914"/>
    <w:link w:val="909"/>
    <w:uiPriority w:val="99"/>
    <w:semiHidden/>
    <w:unhideWhenUsed/>
  </w:style>
  <w:style w:type="paragraph" w:styleId="998">
    <w:name w:val="font6"/>
    <w:basedOn w:val="909"/>
    <w:next w:val="998"/>
    <w:link w:val="9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9">
    <w:name w:val="font7"/>
    <w:basedOn w:val="909"/>
    <w:next w:val="999"/>
    <w:link w:val="9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0">
    <w:name w:val="font8"/>
    <w:basedOn w:val="909"/>
    <w:next w:val="1000"/>
    <w:link w:val="9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1">
    <w:name w:val="Нет списка4"/>
    <w:next w:val="914"/>
    <w:link w:val="909"/>
    <w:uiPriority w:val="99"/>
    <w:semiHidden/>
    <w:unhideWhenUsed/>
  </w:style>
  <w:style w:type="paragraph" w:styleId="1002">
    <w:name w:val="Абзац списка"/>
    <w:basedOn w:val="909"/>
    <w:next w:val="1002"/>
    <w:link w:val="9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3">
    <w:name w:val="Нижний колонтитул Знак"/>
    <w:next w:val="1003"/>
    <w:link w:val="918"/>
    <w:uiPriority w:val="99"/>
  </w:style>
  <w:style w:type="character" w:styleId="1004">
    <w:name w:val="Знак примечания"/>
    <w:next w:val="1004"/>
    <w:link w:val="909"/>
    <w:rPr>
      <w:sz w:val="16"/>
      <w:szCs w:val="16"/>
    </w:rPr>
  </w:style>
  <w:style w:type="paragraph" w:styleId="1005">
    <w:name w:val="Текст примечания"/>
    <w:basedOn w:val="909"/>
    <w:next w:val="1005"/>
    <w:link w:val="1006"/>
  </w:style>
  <w:style w:type="character" w:styleId="1006">
    <w:name w:val="Текст примечания Знак"/>
    <w:basedOn w:val="912"/>
    <w:next w:val="1006"/>
    <w:link w:val="1005"/>
  </w:style>
  <w:style w:type="paragraph" w:styleId="1007">
    <w:name w:val="Тема примечания"/>
    <w:basedOn w:val="1005"/>
    <w:next w:val="1005"/>
    <w:link w:val="1008"/>
    <w:rPr>
      <w:b/>
      <w:bCs/>
      <w:lang w:val="en-US" w:eastAsia="en-US"/>
    </w:rPr>
  </w:style>
  <w:style w:type="character" w:styleId="1008">
    <w:name w:val="Тема примечания Знак"/>
    <w:next w:val="1008"/>
    <w:link w:val="1007"/>
    <w:rPr>
      <w:b/>
      <w:bCs/>
    </w:rPr>
  </w:style>
  <w:style w:type="paragraph" w:styleId="1009">
    <w:name w:val="Рецензия"/>
    <w:next w:val="1009"/>
    <w:link w:val="909"/>
    <w:hidden/>
    <w:uiPriority w:val="99"/>
    <w:semiHidden/>
    <w:rPr>
      <w:lang w:val="ru-RU" w:eastAsia="ru-RU" w:bidi="ar-SA"/>
    </w:rPr>
  </w:style>
  <w:style w:type="paragraph" w:styleId="1010">
    <w:name w:val="ConsPlusTitle"/>
    <w:next w:val="1010"/>
    <w:link w:val="909"/>
    <w:uiPriority w:val="99"/>
    <w:pPr>
      <w:widowControl w:val="off"/>
    </w:pPr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1011" w:default="1">
    <w:name w:val="Default Paragraph Font"/>
    <w:uiPriority w:val="1"/>
    <w:semiHidden/>
    <w:unhideWhenUsed/>
  </w:style>
  <w:style w:type="numbering" w:styleId="1012" w:default="1">
    <w:name w:val="No List"/>
    <w:uiPriority w:val="99"/>
    <w:semiHidden/>
    <w:unhideWhenUsed/>
  </w:style>
  <w:style w:type="table" w:styleId="10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</cp:revision>
  <dcterms:created xsi:type="dcterms:W3CDTF">2025-10-12T21:35:00Z</dcterms:created>
  <dcterms:modified xsi:type="dcterms:W3CDTF">2025-10-13T09:24:25Z</dcterms:modified>
  <cp:version>1048576</cp:version>
</cp:coreProperties>
</file>