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47085</wp:posOffset>
                </wp:positionV>
                <wp:extent cx="6285865" cy="1067341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67340"/>
                          <a:chOff x="0" y="0"/>
                          <a:chExt cx="6285864" cy="106734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064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772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38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55555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58730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755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3.71pt;mso-position-vertical:absolute;width:494.95pt;height:84.04pt;mso-wrap-distance-left:9.00pt;mso-wrap-distance-top:0.00pt;mso-wrap-distance-right:9.00pt;mso-wrap-distance-bottom:0.00pt;" coordorigin="0,0" coordsize="62858,10673">
                <v:shape id="shape 2" o:spid="_x0000_s2" o:spt="202" type="#_x0000_t202" style="position:absolute;left:0;top:0;width:62858;height:10641;visibility:visible;" fillcolor="#FFFFFF" stroked="f">
                  <v:textbox inset="0,0,0,0">
                    <w:txbxContent>
                      <w:p>
                        <w:pPr>
                          <w:pStyle w:val="772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38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555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587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755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spacing w:line="240" w:lineRule="exact"/>
      </w:pPr>
      <w:r/>
      <w:bookmarkStart w:id="0" w:name="_Hlk345729"/>
      <w:r/>
      <w:r/>
    </w:p>
    <w:p>
      <w:pPr>
        <w:pStyle w:val="941"/>
        <w:spacing w:line="240" w:lineRule="exact"/>
      </w:pPr>
      <w:r/>
      <w:r/>
    </w:p>
    <w:p>
      <w:pPr>
        <w:pStyle w:val="941"/>
        <w:ind w:right="3967"/>
        <w:spacing w:line="240" w:lineRule="exact"/>
        <w:widowControl w:val="off"/>
        <w:rPr>
          <w:b/>
          <w:bCs/>
        </w:rPr>
      </w:pPr>
      <w:r>
        <w:rPr>
          <w:b/>
          <w:bCs/>
        </w:rPr>
        <w:t xml:space="preserve">Об утверждении размера </w:t>
      </w:r>
      <w:r>
        <w:rPr>
          <w:b/>
        </w:rPr>
        <w:br w:type="textWrapping" w:clear="all"/>
        <w:t xml:space="preserve">нормативных затрат на оказание </w:t>
      </w:r>
      <w:r>
        <w:rPr>
          <w:b/>
        </w:rPr>
        <w:br w:type="textWrapping" w:clear="all"/>
        <w:t xml:space="preserve">муниципальной услуги </w:t>
      </w:r>
      <w:r>
        <w:rPr>
          <w:b/>
        </w:rPr>
        <w:br w:type="textWrapping" w:clear="all"/>
        <w:t xml:space="preserve">«Библиотечное, библиографическое </w:t>
      </w:r>
      <w:r>
        <w:rPr>
          <w:b/>
        </w:rPr>
        <w:br w:type="textWrapping" w:clear="all"/>
        <w:t xml:space="preserve">и информационное обслуживание </w:t>
      </w:r>
      <w:r>
        <w:rPr>
          <w:b/>
        </w:rPr>
        <w:br w:type="textWrapping" w:clear="all"/>
        <w:t xml:space="preserve">пользователей библиотеки» </w:t>
      </w:r>
      <w:r>
        <w:rPr>
          <w:b/>
        </w:rPr>
        <w:br w:type="textWrapping" w:clear="all"/>
        <w:t xml:space="preserve">и нормативных затрат на содержание </w:t>
      </w:r>
      <w:r>
        <w:rPr>
          <w:b/>
          <w:bCs/>
        </w:rPr>
      </w:r>
      <w:r>
        <w:rPr>
          <w:b/>
          <w:bCs/>
        </w:rPr>
      </w:r>
    </w:p>
    <w:p>
      <w:pPr>
        <w:pStyle w:val="941"/>
        <w:ind w:right="3967"/>
        <w:spacing w:line="240" w:lineRule="exact"/>
        <w:widowControl w:val="off"/>
        <w:rPr>
          <w:b/>
          <w:bCs/>
        </w:rPr>
      </w:pPr>
      <w:r>
        <w:rPr>
          <w:b/>
        </w:rPr>
        <w:t xml:space="preserve">муниципального имущества на 2026 </w:t>
      </w:r>
      <w:r>
        <w:rPr>
          <w:b/>
          <w:bCs/>
        </w:rPr>
      </w:r>
      <w:r>
        <w:rPr>
          <w:b/>
          <w:bCs/>
        </w:rPr>
      </w:r>
    </w:p>
    <w:p>
      <w:pPr>
        <w:pStyle w:val="941"/>
        <w:ind w:right="3967"/>
        <w:spacing w:line="240" w:lineRule="exact"/>
        <w:widowControl w:val="off"/>
        <w:rPr>
          <w:b/>
        </w:rPr>
      </w:pPr>
      <w:r>
        <w:rPr>
          <w:b/>
        </w:rPr>
        <w:t xml:space="preserve">год и плановый период 2027-2028 годов,</w:t>
      </w:r>
      <w:r>
        <w:rPr>
          <w:b/>
        </w:rPr>
      </w:r>
      <w:r>
        <w:rPr>
          <w:b/>
        </w:rPr>
      </w:r>
    </w:p>
    <w:p>
      <w:pPr>
        <w:pStyle w:val="941"/>
        <w:ind w:right="3967"/>
        <w:spacing w:line="240" w:lineRule="exact"/>
        <w:widowControl w:val="off"/>
        <w:rPr>
          <w:b/>
        </w:rPr>
      </w:pPr>
      <w:r>
        <w:rPr>
          <w:b/>
        </w:rPr>
        <w:t xml:space="preserve">значений натуральных норм, </w:t>
      </w:r>
      <w:r>
        <w:rPr>
          <w:b/>
        </w:rPr>
      </w:r>
      <w:r>
        <w:rPr>
          <w:b/>
        </w:rPr>
      </w:r>
    </w:p>
    <w:p>
      <w:pPr>
        <w:pStyle w:val="941"/>
        <w:ind w:right="3967"/>
        <w:spacing w:line="240" w:lineRule="exact"/>
        <w:widowControl w:val="off"/>
        <w:rPr>
          <w:b/>
        </w:rPr>
      </w:pPr>
      <w:r>
        <w:rPr>
          <w:b/>
        </w:rPr>
        <w:t xml:space="preserve">необходимых для определения базовых </w:t>
      </w:r>
      <w:r>
        <w:rPr>
          <w:b/>
        </w:rPr>
        <w:br w:type="textWrapping" w:clear="all"/>
        <w:t xml:space="preserve">нормативов затрат на оказание </w:t>
      </w:r>
      <w:r>
        <w:rPr>
          <w:b/>
        </w:rPr>
        <w:br w:type="textWrapping" w:clear="all"/>
        <w:t xml:space="preserve">муниципальной услуги </w:t>
      </w:r>
      <w:r>
        <w:rPr>
          <w:b/>
        </w:rPr>
        <w:br w:type="textWrapping" w:clear="all"/>
        <w:t xml:space="preserve">«Библиотечное, библиографическое </w:t>
      </w:r>
      <w:r>
        <w:rPr>
          <w:b/>
        </w:rPr>
        <w:br w:type="textWrapping" w:clear="all"/>
        <w:t xml:space="preserve">и информационное обслуживание </w:t>
      </w:r>
      <w:r>
        <w:rPr>
          <w:b/>
        </w:rPr>
        <w:br w:type="textWrapping" w:clear="all"/>
        <w:t xml:space="preserve">пользователей библиотеки» </w:t>
      </w:r>
      <w:r>
        <w:rPr>
          <w:b/>
        </w:rPr>
      </w:r>
      <w:r>
        <w:rPr>
          <w:b/>
        </w:rPr>
      </w:r>
    </w:p>
    <w:p>
      <w:pPr>
        <w:pStyle w:val="941"/>
        <w:ind w:right="3967"/>
        <w:spacing w:line="240" w:lineRule="exact"/>
        <w:widowControl w:val="off"/>
      </w:pPr>
      <w:r/>
      <w:r/>
    </w:p>
    <w:p>
      <w:pPr>
        <w:pStyle w:val="941"/>
        <w:spacing w:line="240" w:lineRule="exact"/>
      </w:pPr>
      <w:r/>
      <w:r/>
    </w:p>
    <w:p>
      <w:pPr>
        <w:pStyle w:val="941"/>
        <w:spacing w:line="240" w:lineRule="exact"/>
      </w:pPr>
      <w:r/>
      <w:bookmarkEnd w:id="0"/>
      <w:r/>
      <w:r/>
    </w:p>
    <w:p>
      <w:pPr>
        <w:ind w:firstLine="720"/>
        <w:jc w:val="both"/>
        <w:rPr>
          <w:spacing w:val="2"/>
          <w:sz w:val="28"/>
          <w:szCs w:val="24"/>
        </w:rPr>
      </w:pPr>
      <w:r>
        <w:rPr>
          <w:spacing w:val="2"/>
          <w:sz w:val="28"/>
          <w:szCs w:val="24"/>
        </w:rPr>
        <w:t xml:space="preserve">В соответствии с Законом Российской Федерации от 09 октября 1992 г. </w:t>
      </w:r>
      <w:r>
        <w:rPr>
          <w:spacing w:val="2"/>
          <w:sz w:val="28"/>
          <w:szCs w:val="24"/>
        </w:rPr>
        <w:br w:type="textWrapping" w:clear="all"/>
        <w:t xml:space="preserve">№ 3612-1 «Основы законодательства Российской Федерации о культуре», Федеральным</w:t>
      </w:r>
      <w:r>
        <w:rPr>
          <w:spacing w:val="2"/>
          <w:sz w:val="28"/>
          <w:szCs w:val="24"/>
        </w:rPr>
        <w:t xml:space="preserve">и</w:t>
      </w:r>
      <w:r>
        <w:rPr>
          <w:spacing w:val="2"/>
          <w:sz w:val="28"/>
          <w:szCs w:val="24"/>
        </w:rPr>
        <w:t xml:space="preserve"> закон</w:t>
      </w:r>
      <w:r>
        <w:rPr>
          <w:spacing w:val="2"/>
          <w:sz w:val="28"/>
          <w:szCs w:val="24"/>
        </w:rPr>
        <w:t xml:space="preserve">а</w:t>
      </w:r>
      <w:r>
        <w:rPr>
          <w:spacing w:val="2"/>
          <w:sz w:val="28"/>
          <w:szCs w:val="24"/>
        </w:rPr>
        <w:t xml:space="preserve">м</w:t>
      </w:r>
      <w:r>
        <w:rPr>
          <w:spacing w:val="2"/>
          <w:sz w:val="28"/>
          <w:szCs w:val="24"/>
        </w:rPr>
        <w:t xml:space="preserve">и</w:t>
      </w:r>
      <w:r>
        <w:rPr>
          <w:spacing w:val="2"/>
          <w:sz w:val="28"/>
          <w:szCs w:val="24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spacing w:val="2"/>
          <w:sz w:val="28"/>
          <w:szCs w:val="24"/>
        </w:rPr>
        <w:t xml:space="preserve">от 20 марта 2025 г. </w:t>
      </w:r>
      <w:r>
        <w:rPr>
          <w:spacing w:val="2"/>
          <w:sz w:val="28"/>
          <w:szCs w:val="24"/>
        </w:rPr>
        <w:t xml:space="preserve">    </w:t>
      </w:r>
      <w:r>
        <w:rPr>
          <w:spacing w:val="2"/>
          <w:sz w:val="28"/>
          <w:szCs w:val="24"/>
        </w:rPr>
        <w:t xml:space="preserve">№ 33-ФЗ «Об общих принципах организации местного самоуправления в единой системе публичной власти»,</w:t>
      </w:r>
      <w:r>
        <w:rPr>
          <w:spacing w:val="2"/>
          <w:sz w:val="28"/>
          <w:szCs w:val="24"/>
        </w:rPr>
        <w:t xml:space="preserve"> </w:t>
      </w:r>
      <w:hyperlink r:id="rId14" w:tooltip="consultantplus://offline/ref=B458321A75629C72871C3A5F48AFA6D20516F7FEF04DA7AED4528D543AF64B8B99B117C6364169184B233EM2b6K" w:history="1">
        <w:r>
          <w:rPr>
            <w:spacing w:val="2"/>
            <w:sz w:val="28"/>
            <w:szCs w:val="28"/>
          </w:rPr>
          <w:t xml:space="preserve">Уставом</w:t>
        </w:r>
      </w:hyperlink>
      <w:r>
        <w:rPr>
          <w:spacing w:val="2"/>
          <w:sz w:val="28"/>
          <w:szCs w:val="24"/>
        </w:rPr>
        <w:t xml:space="preserve"> города Перми, </w:t>
      </w:r>
      <w:r>
        <w:rPr>
          <w:spacing w:val="2"/>
          <w:sz w:val="28"/>
          <w:szCs w:val="28"/>
        </w:rPr>
        <w:t xml:space="preserve">постановлени</w:t>
      </w:r>
      <w:r>
        <w:rPr>
          <w:spacing w:val="2"/>
          <w:sz w:val="28"/>
          <w:szCs w:val="24"/>
        </w:rPr>
        <w:t xml:space="preserve">я</w:t>
      </w:r>
      <w:r>
        <w:rPr>
          <w:spacing w:val="2"/>
          <w:sz w:val="28"/>
          <w:szCs w:val="28"/>
        </w:rPr>
        <w:t xml:space="preserve">ми</w:t>
      </w:r>
      <w:r>
        <w:rPr>
          <w:spacing w:val="2"/>
          <w:sz w:val="28"/>
          <w:szCs w:val="24"/>
        </w:rPr>
        <w:t xml:space="preserve"> администрации города Перми от 30 ноября 2007 г. № 502 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работ)», </w:t>
      </w:r>
      <w:bookmarkStart w:id="1" w:name="sub_3"/>
      <w:r>
        <w:rPr>
          <w:spacing w:val="2"/>
          <w:sz w:val="28"/>
          <w:szCs w:val="24"/>
        </w:rPr>
        <w:t xml:space="preserve">от 06 се</w:t>
      </w:r>
      <w:r>
        <w:rPr>
          <w:spacing w:val="2"/>
          <w:sz w:val="28"/>
          <w:szCs w:val="24"/>
        </w:rPr>
        <w:t xml:space="preserve">нтября 2016 г. № 657 «Об утверждении Методики расчета нормативных затрат на оказание муниципальной услуги «Библиотечное, библиографическое и информационное обслуживание пользователей библиотеки» и нормативных затрат на содержание муниципального имущества» </w:t>
      </w:r>
      <w:r>
        <w:rPr>
          <w:spacing w:val="2"/>
          <w:sz w:val="28"/>
          <w:szCs w:val="24"/>
        </w:rPr>
      </w:r>
      <w:r>
        <w:rPr>
          <w:spacing w:val="2"/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администрация города Перми ПОСТАНОВЛЯЕТ: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/>
      <w:bookmarkStart w:id="2" w:name="sub_1"/>
      <w:r/>
      <w:bookmarkEnd w:id="1"/>
      <w:r>
        <w:rPr>
          <w:sz w:val="28"/>
          <w:szCs w:val="24"/>
        </w:rPr>
        <w:t xml:space="preserve">1. Утвердить прилагаемые: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1.1. </w:t>
      </w:r>
      <w:hyperlink w:tooltip="#sub_1000" w:anchor="sub_1000" w:history="1">
        <w:r>
          <w:rPr>
            <w:sz w:val="28"/>
            <w:szCs w:val="28"/>
          </w:rPr>
          <w:t xml:space="preserve">размер</w:t>
        </w:r>
      </w:hyperlink>
      <w:r>
        <w:rPr>
          <w:sz w:val="28"/>
          <w:szCs w:val="28"/>
        </w:rPr>
        <w:t xml:space="preserve"> нормативных затрат на оказание </w:t>
      </w:r>
      <w:r>
        <w:rPr>
          <w:sz w:val="28"/>
          <w:szCs w:val="24"/>
        </w:rPr>
        <w:t xml:space="preserve">муниципальной услуги </w:t>
      </w:r>
      <w:r>
        <w:rPr>
          <w:sz w:val="28"/>
          <w:szCs w:val="28"/>
        </w:rPr>
        <w:t xml:space="preserve">«Библиотечное, библиографическое и информационное обслуживание пользователей библиотеки» </w:t>
      </w:r>
      <w:r>
        <w:rPr>
          <w:sz w:val="28"/>
          <w:szCs w:val="24"/>
        </w:rPr>
        <w:t xml:space="preserve">и нормативных затрат на содержание муниципального имущества </w:t>
      </w:r>
      <w:r>
        <w:rPr>
          <w:sz w:val="28"/>
          <w:szCs w:val="28"/>
        </w:rPr>
        <w:t xml:space="preserve">на 2026 год и плановый период 2027-2028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4"/>
        </w:rPr>
        <w:t xml:space="preserve">значения натуральных норм, необходимых для определения базовых нормативов затрат</w:t>
      </w:r>
      <w:r>
        <w:rPr>
          <w:b/>
          <w:sz w:val="28"/>
          <w:szCs w:val="24"/>
        </w:rPr>
        <w:t xml:space="preserve"> </w:t>
      </w:r>
      <w:r>
        <w:rPr>
          <w:sz w:val="28"/>
          <w:szCs w:val="24"/>
        </w:rPr>
        <w:t xml:space="preserve">на оказание муниципальной услуги </w:t>
      </w:r>
      <w:r>
        <w:rPr>
          <w:sz w:val="28"/>
          <w:szCs w:val="28"/>
        </w:rPr>
        <w:t xml:space="preserve">«Библиотечное, библиографическое и информационное обслуживание пользователей библиотеки».</w:t>
      </w:r>
      <w:bookmarkEnd w:id="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Признать </w:t>
      </w:r>
      <w:bookmarkStart w:id="3" w:name="_Hlk491772580"/>
      <w:r>
        <w:rPr>
          <w:sz w:val="28"/>
          <w:szCs w:val="24"/>
        </w:rPr>
        <w:t xml:space="preserve">утратившими силу: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постановление администрации города Перми от 03 сентября 2024 г. № 725 «Об утверждении размера нормативных затрат на оказание муниципальной услуги </w:t>
      </w:r>
      <w:r>
        <w:rPr>
          <w:sz w:val="28"/>
          <w:szCs w:val="28"/>
        </w:rPr>
        <w:t xml:space="preserve">«Библиотечное, библиографическое и информационное обслуживание пользователей библиотеки»</w:t>
      </w:r>
      <w:r>
        <w:rPr>
          <w:sz w:val="28"/>
          <w:szCs w:val="24"/>
        </w:rPr>
        <w:t xml:space="preserve"> и нормативных затрат на содержание муниципального имущества, уплату налогов на 2025 год и плановый период 2026-2027 годов</w:t>
      </w:r>
      <w:bookmarkEnd w:id="3"/>
      <w:r>
        <w:rPr>
          <w:sz w:val="28"/>
          <w:szCs w:val="24"/>
        </w:rPr>
        <w:t xml:space="preserve"> и значений натуральных норм, необходимых для определения базовых нормативов затрат</w:t>
      </w:r>
      <w:r>
        <w:rPr>
          <w:b/>
          <w:sz w:val="28"/>
          <w:szCs w:val="24"/>
        </w:rPr>
        <w:t xml:space="preserve"> </w:t>
      </w:r>
      <w:r>
        <w:rPr>
          <w:sz w:val="28"/>
          <w:szCs w:val="24"/>
        </w:rPr>
        <w:t xml:space="preserve">на оказание муниципальной услуги </w:t>
      </w:r>
      <w:r>
        <w:rPr>
          <w:sz w:val="28"/>
          <w:szCs w:val="28"/>
        </w:rPr>
        <w:t xml:space="preserve">«Библиотечное, библиографическое и информационное обслуживание пользователей библиотеки»</w:t>
      </w:r>
      <w:r>
        <w:rPr>
          <w:sz w:val="28"/>
          <w:szCs w:val="24"/>
        </w:rPr>
        <w:t xml:space="preserve">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пункт 3 постановления администрации города Перми от 04 октября 2024 г. № 831 «О внесении изменений в отдельные правовые акты администрации города Перми в сфере культуры».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</w:t>
      </w:r>
      <w:r>
        <w:rPr>
          <w:sz w:val="28"/>
          <w:szCs w:val="24"/>
        </w:rPr>
        <w:t xml:space="preserve"> посредством официального опубликования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4"/>
        </w:rPr>
        <w:t xml:space="preserve">посредством официального опубликования</w:t>
      </w:r>
      <w:r>
        <w:rPr>
          <w:sz w:val="28"/>
          <w:szCs w:val="28"/>
        </w:rPr>
        <w:t xml:space="preserve">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20"/>
        <w:jc w:val="both"/>
        <w:spacing w:line="240" w:lineRule="exact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города Перми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</w:t>
      </w:r>
      <w:r>
        <w:rPr>
          <w:color w:val="000000"/>
          <w:sz w:val="28"/>
          <w:szCs w:val="28"/>
        </w:rPr>
        <w:tab/>
        <w:t xml:space="preserve">                 Э.О. Соснин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944" w:firstLine="720"/>
        <w:spacing w:line="240" w:lineRule="exact"/>
        <w:rPr>
          <w:sz w:val="28"/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10.10.2025 № 755</w:t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8"/>
        </w:rPr>
        <w:t xml:space="preserve">нормативных затрат на оказание </w:t>
      </w:r>
      <w:r>
        <w:rPr>
          <w:b/>
          <w:sz w:val="28"/>
          <w:szCs w:val="24"/>
        </w:rPr>
        <w:t xml:space="preserve">муниципальной услуги «Библиотечное, </w:t>
      </w:r>
      <w:r>
        <w:rPr>
          <w:b/>
          <w:sz w:val="28"/>
          <w:szCs w:val="24"/>
        </w:rPr>
        <w:br w:type="textWrapping" w:clear="all"/>
        <w:t xml:space="preserve">библиографическое и информационное обслуживание пользователей </w:t>
      </w:r>
      <w:r>
        <w:rPr>
          <w:b/>
          <w:sz w:val="28"/>
          <w:szCs w:val="24"/>
        </w:rPr>
        <w:br w:type="textWrapping" w:clear="all"/>
        <w:t xml:space="preserve">библиотеки» и нормативных затрат на содержание муниципального </w:t>
      </w:r>
      <w:r>
        <w:rPr>
          <w:b/>
          <w:sz w:val="28"/>
          <w:szCs w:val="24"/>
        </w:rPr>
        <w:br w:type="textWrapping" w:clear="all"/>
        <w:t xml:space="preserve">имущества</w:t>
      </w:r>
      <w:r>
        <w:rPr>
          <w:b/>
          <w:sz w:val="28"/>
          <w:szCs w:val="28"/>
        </w:rPr>
        <w:t xml:space="preserve"> на 2026 год и </w:t>
      </w:r>
      <w:r>
        <w:rPr>
          <w:b/>
          <w:sz w:val="28"/>
          <w:szCs w:val="24"/>
        </w:rPr>
        <w:t xml:space="preserve">плановый период 2027-2028 годов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45"/>
        <w:gridCol w:w="1766"/>
      </w:tblGrid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"/>
          <w:szCs w:val="4"/>
        </w:rPr>
      </w:pPr>
      <w:r>
        <w:rPr>
          <w:sz w:val="2"/>
          <w:szCs w:val="4"/>
        </w:rPr>
      </w:r>
      <w:r>
        <w:rPr>
          <w:sz w:val="2"/>
          <w:szCs w:val="4"/>
        </w:rPr>
      </w:r>
      <w:r>
        <w:rPr>
          <w:sz w:val="2"/>
          <w:szCs w:val="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45"/>
        <w:gridCol w:w="1766"/>
      </w:tblGrid>
      <w:tr>
        <w:tblPrEx/>
        <w:trPr>
          <w:tblHeader/>
        </w:trPr>
        <w:tc>
          <w:tcPr>
            <w:tcW w:w="410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165,40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164,00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2 865 674,00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165,40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164,00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32,60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2 865 674,00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198,00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165,40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164,00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32,60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109" w:type="pct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89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2 865 674,00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240" w:lineRule="exact"/>
        <w:rPr>
          <w:sz w:val="28"/>
          <w:szCs w:val="24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10.10.2025 № 755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на оказание муниципальной </w:t>
      </w:r>
      <w:r>
        <w:rPr>
          <w:b/>
          <w:sz w:val="28"/>
          <w:szCs w:val="28"/>
        </w:rPr>
        <w:br w:type="textWrapping" w:clear="all"/>
        <w:t xml:space="preserve">услуги </w:t>
      </w:r>
      <w:r>
        <w:rPr>
          <w:b/>
          <w:sz w:val="28"/>
          <w:szCs w:val="24"/>
        </w:rPr>
        <w:t xml:space="preserve">«Библиотечное, библиографическое и информационное обслуживание пользователей библиотеки»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932"/>
        <w:gridCol w:w="3350"/>
        <w:gridCol w:w="1398"/>
        <w:gridCol w:w="1537"/>
        <w:gridCol w:w="3286"/>
      </w:tblGrid>
      <w:tr>
        <w:tblPrEx/>
        <w:trPr/>
        <w:tc>
          <w:tcPr>
            <w:tcW w:w="23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муниципальной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Уникальный номер </w:t>
            </w:r>
            <w:r>
              <w:rPr>
                <w:sz w:val="24"/>
                <w:szCs w:val="24"/>
              </w:rPr>
              <w:br w:type="textWrapping" w:clear="all"/>
              <w:t xml:space="preserve">реестровой записи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 w:type="textWrapping" w:clear="all"/>
              <w:t xml:space="preserve">натуральной формы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Единица измерения натуральной нормы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натуральной нормы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2933"/>
        <w:gridCol w:w="3352"/>
        <w:gridCol w:w="1395"/>
        <w:gridCol w:w="1538"/>
        <w:gridCol w:w="3286"/>
      </w:tblGrid>
      <w:tr>
        <w:tblPrEx/>
        <w:trPr>
          <w:trHeight w:val="188"/>
          <w:tblHeader/>
        </w:trPr>
        <w:tc>
          <w:tcPr>
            <w:tcW w:w="78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3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4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5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restar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Библиотечное,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библиографическое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и информационное обслуживание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пользователей библиотеки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restar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910100О.99.0.ББ83АА00000</w:t>
            </w:r>
            <w:r>
              <w:rPr>
                <w:spacing w:val="-4"/>
                <w:sz w:val="24"/>
                <w:szCs w:val="24"/>
              </w:rPr>
            </w:r>
            <w:r>
              <w:rPr>
                <w:spacing w:val="-4"/>
                <w:sz w:val="24"/>
                <w:szCs w:val="24"/>
              </w:rPr>
            </w:r>
          </w:p>
        </w:tc>
        <w:tc>
          <w:tcPr>
            <w:gridSpan w:val="4"/>
            <w:tcW w:w="322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1. Натуральные нормы, непосредственно связанные с оказанием муниципальной услуги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4"/>
            <w:tcW w:w="322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Натуральные нормы, используемые при определении затрат на оплату труда с нач</w:t>
            </w:r>
            <w:r>
              <w:rPr>
                <w:sz w:val="24"/>
                <w:szCs w:val="24"/>
              </w:rPr>
              <w:t xml:space="preserve">ислениями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главный библиотекарь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(библиограф)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0,00004967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ведущий библиотекарь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(библиограф)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0,00003725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библиотекарь высшей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категории (библиограф)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0,00003539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библиотекарь 1 категории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0,00002546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библиотекарь 2 категории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0,00000993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keepLines/>
              <w:keepNext/>
              <w:pageBreakBefore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библиотекарь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keepLines/>
              <w:keepNext/>
              <w:pageBreakBefore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0,00000310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keepLines/>
              <w:keepNext/>
              <w:pageBreakBefore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keepLines/>
              <w:keepNext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гардеробщик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keepLines/>
              <w:keepNext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0,00000714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keepLines/>
              <w:keepNext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4"/>
            <w:tcW w:w="3224" w:type="pct"/>
            <w:textDirection w:val="lrTb"/>
            <w:noWrap w:val="false"/>
          </w:tcPr>
          <w:p>
            <w:pPr>
              <w:ind w:left="-28" w:right="-28"/>
              <w:jc w:val="center"/>
              <w:keepLines/>
              <w:keepNext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1.2. Натуральные нормы, используемые при определении затрат на коммунальные услуги, непосредственно связанных с оказанием муниципальной услуги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электроэнергия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кВт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0,09376334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теплоэнергия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Гкал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0,00048269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водоснабжение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куб. м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0,00126726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водоотведение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куб. м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0,00114265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4"/>
            <w:tcW w:w="322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 Натуральные нормы на общехозяйственные нужды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4"/>
            <w:tcW w:w="322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2.1. Натуральные нормы, используемые при определении затрат на коммунальные услуги,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 исключением затрат, непосредственно связанных с оказанием муниципальной услуги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электроэнергия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кВт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0,03450388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теплоэнергия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Гкал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0,00017767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водоснабжение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куб. м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0,00046658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водоотведение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куб. м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0,00042065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вывоз твердых коммунальных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отходов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0,00007562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4"/>
            <w:tcW w:w="322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2.2. Содержание объектов недвижимого имущества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содержание, ремонт,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аварийное обслуживание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общего имущества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0,00001801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дератизация и дезинсекция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0,00849476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вывоз крупногабаритного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мусора, снега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0,00000621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опрессовка системы отопления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0,00000372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уборка снега, наледи и снежно-ледовых образований с крыш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0,00553831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испытание и ремонт пожарных кранов и стояков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0,00000931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испытание пожарных лестниц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0,00000248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поверка приборов учета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тепловой энергии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0,00000124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замена приборов учета горячего и холодного водоснабжения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0,00001055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замер сопротивления изоляции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и защитного заземления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0,00000993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снятие показаний с приборов учета тепловой энергии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на вводе зданий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0,00000372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содержание лифтового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оборудования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демеркуризация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люминесцентных ламп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0,00070099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уборка помещений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>
          <w:trHeight w:val="56"/>
        </w:trPr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4"/>
            <w:tcW w:w="322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2.3. Содержание объектов особо ценного движимого имущества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техническое обслуживание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систем пожарной сигнализации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0,00000310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техническое обслуживание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и ремонт автотранспорта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 xml:space="preserve">0,00000124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>
          <w:trHeight w:val="56"/>
        </w:trPr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4"/>
            <w:tcW w:w="322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2.4. Услуги связи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абонентская связь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0,00004595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сотовая связь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Интернет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0,00002546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Интернет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4"/>
            <w:tcW w:w="322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2.4. </w:t>
            </w:r>
            <w:r>
              <w:rPr>
                <w:sz w:val="24"/>
                <w:szCs w:val="24"/>
              </w:rPr>
              <w:t xml:space="preserve">Натуральные нормы, используемые при определении затрат на оплату труда с начислениями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директор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заместитель директора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заместитель директора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по автоматизации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заместитель директора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по административно-хозяйственной части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заместитель директора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по правовым вопросам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начальник сектора (отдела)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по работе с персоналом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начальник сектора (отдела)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по закупкам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специалист по закупкам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заведующий отделом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снабжения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главный инженер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инженер по охране труда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инженер-программист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программист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специалист отдела по управлению персоналом и договорной деятельностью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заведующий складом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водитель автомобиля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0,00000124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слесарь-сантехник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0,00000124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плотник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дворник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0,00000171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электромонтер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jc w:val="center"/>
            </w:pPr>
            <w:r>
              <w:rPr>
                <w:spacing w:val="-2"/>
                <w:sz w:val="24"/>
                <w:szCs w:val="24"/>
              </w:rPr>
              <w:t xml:space="preserve">штатная единица</w:t>
            </w:r>
            <w:r>
              <w:rPr>
                <w:spacing w:val="-2"/>
                <w:sz w:val="24"/>
                <w:szCs w:val="24"/>
              </w:rPr>
            </w:r>
            <w:r/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0,00000093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4"/>
            <w:tcW w:w="3224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2.5. Прочие общехозяйственные нужды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услуги охраны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техническое обслуживание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и ремонт компьютерной техники, оргтехники, локальной вычислительной сети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0,00003353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 xml:space="preserve">услуги по поддержке специального сетевого и серверного программного комплекса, установленного на серверах и рабочих станциях в библиотеках</w:t>
            </w:r>
            <w:r>
              <w:rPr>
                <w:rFonts w:eastAsia="Calibri"/>
                <w:spacing w:val="-2"/>
                <w:sz w:val="24"/>
                <w:szCs w:val="24"/>
              </w:rPr>
            </w:r>
            <w:r>
              <w:rPr>
                <w:rFonts w:eastAsia="Calibri"/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 xml:space="preserve">0,00000124</w:t>
            </w:r>
            <w:r>
              <w:rPr>
                <w:rFonts w:eastAsia="Calibri"/>
                <w:spacing w:val="-2"/>
                <w:sz w:val="24"/>
                <w:szCs w:val="24"/>
              </w:rPr>
            </w:r>
            <w:r>
              <w:rPr>
                <w:rFonts w:eastAsia="Calibri"/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 xml:space="preserve">сопровождение, техническая поддержка сайта</w:t>
            </w:r>
            <w:r>
              <w:rPr>
                <w:rFonts w:eastAsia="Calibri"/>
                <w:spacing w:val="-2"/>
                <w:sz w:val="24"/>
                <w:szCs w:val="24"/>
              </w:rPr>
            </w:r>
            <w:r>
              <w:rPr>
                <w:rFonts w:eastAsia="Calibri"/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 xml:space="preserve">0,00000062</w:t>
            </w:r>
            <w:r>
              <w:rPr>
                <w:rFonts w:eastAsia="Calibri"/>
                <w:spacing w:val="-2"/>
                <w:sz w:val="24"/>
                <w:szCs w:val="24"/>
              </w:rPr>
            </w:r>
            <w:r>
              <w:rPr>
                <w:rFonts w:eastAsia="Calibri"/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 xml:space="preserve">заправка картриджей</w:t>
            </w:r>
            <w:r>
              <w:rPr>
                <w:rFonts w:eastAsia="Calibri"/>
                <w:spacing w:val="-2"/>
                <w:sz w:val="24"/>
                <w:szCs w:val="24"/>
              </w:rPr>
            </w:r>
            <w:r>
              <w:rPr>
                <w:rFonts w:eastAsia="Calibri"/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 xml:space="preserve">0,00000062</w:t>
            </w:r>
            <w:r>
              <w:rPr>
                <w:rFonts w:eastAsia="Calibri"/>
                <w:spacing w:val="-2"/>
                <w:sz w:val="24"/>
                <w:szCs w:val="24"/>
              </w:rPr>
            </w:r>
            <w:r>
              <w:rPr>
                <w:rFonts w:eastAsia="Calibri"/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 xml:space="preserve">мероприятия по охране труда</w:t>
            </w:r>
            <w:r>
              <w:rPr>
                <w:rFonts w:eastAsia="Calibri"/>
                <w:spacing w:val="-2"/>
                <w:sz w:val="24"/>
                <w:szCs w:val="24"/>
              </w:rPr>
            </w:r>
            <w:r>
              <w:rPr>
                <w:rFonts w:eastAsia="Calibri"/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услуга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 xml:space="preserve">0,00000559</w:t>
            </w:r>
            <w:r>
              <w:rPr>
                <w:rFonts w:eastAsia="Calibri"/>
                <w:spacing w:val="-2"/>
                <w:sz w:val="24"/>
                <w:szCs w:val="24"/>
              </w:rPr>
            </w:r>
            <w:r>
              <w:rPr>
                <w:rFonts w:eastAsia="Calibri"/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читательские формуляры, каталожные карточки, дневники работы библиотек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шт.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0,02618187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книги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шт.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0,00194588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подписка на электронные базы данных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ед.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0,00000621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подписка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ед.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0,00000124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электронные читательские билеты (карта бесконтактная)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шт.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0,00620894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копировальный аппарат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шт.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0,00000621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стеллажи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шт.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0,00006209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витрина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шт.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0,00000621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кафедра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шт.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0,00002421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проектор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шт.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0,00002421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компьютер в комплекте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шт.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0,00002421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принтер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шт.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0,00002421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универсальная станция </w:t>
            </w:r>
            <w:r>
              <w:rPr>
                <w:spacing w:val="-2"/>
                <w:sz w:val="24"/>
                <w:szCs w:val="24"/>
              </w:rPr>
              <w:br w:type="textWrapping" w:clear="all"/>
              <w:t xml:space="preserve">для считывания меток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шт.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стол для читателя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шт.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0,00004843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стул для читателя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шт.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0,00009686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ноутбук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шт.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0,00002421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телевизор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шт.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0,00000621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бумага для офисной техники А4</w:t>
            </w:r>
            <w:r>
              <w:rPr>
                <w:spacing w:val="-4"/>
                <w:sz w:val="24"/>
                <w:szCs w:val="24"/>
              </w:rPr>
            </w:r>
            <w:r>
              <w:rPr>
                <w:spacing w:val="-4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пачка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0,00145289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ручка шариковая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шт.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0,00290579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канцелярские товары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сумма в год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988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2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хозяйственные товары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сумма в год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0,00000062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</w:tbl>
    <w:p>
      <w:pPr>
        <w:ind w:left="4956" w:firstLine="708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sectPr>
      <w:headerReference w:type="default" r:id="rId10"/>
      <w:headerReference w:type="even" r:id="rId11"/>
      <w:footerReference w:type="default" r:id="rId12"/>
      <w:footnotePr/>
      <w:endnotePr/>
      <w:type w:val="nextPage"/>
      <w:pgSz w:w="16838" w:h="11906" w:orient="landscape"/>
      <w:pgMar w:top="1134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7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6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rPr>
        <w:rStyle w:val="920"/>
      </w:rPr>
      <w:framePr w:wrap="around" w:vAnchor="text" w:hAnchor="margin" w:xAlign="center" w:y="1"/>
    </w:pPr>
    <w:r>
      <w:rPr>
        <w:rStyle w:val="920"/>
      </w:rPr>
      <w:fldChar w:fldCharType="begin"/>
    </w:r>
    <w:r>
      <w:rPr>
        <w:rStyle w:val="920"/>
      </w:rPr>
      <w:instrText xml:space="preserve">PAGE  </w:instrText>
    </w:r>
    <w:r>
      <w:rPr>
        <w:rStyle w:val="920"/>
      </w:rPr>
      <w:fldChar w:fldCharType="end"/>
    </w:r>
    <w:r>
      <w:rPr>
        <w:rStyle w:val="920"/>
      </w:rPr>
    </w:r>
    <w:r>
      <w:rPr>
        <w:rStyle w:val="920"/>
      </w:rPr>
    </w:r>
  </w:p>
  <w:p>
    <w:pPr>
      <w:pStyle w:val="7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76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6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5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1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1 Char"/>
    <w:basedOn w:val="746"/>
    <w:link w:val="737"/>
    <w:uiPriority w:val="9"/>
    <w:rPr>
      <w:rFonts w:ascii="Arial" w:hAnsi="Arial" w:eastAsia="Arial" w:cs="Arial"/>
      <w:sz w:val="40"/>
      <w:szCs w:val="40"/>
    </w:rPr>
  </w:style>
  <w:style w:type="character" w:styleId="721">
    <w:name w:val="Heading 2 Char"/>
    <w:basedOn w:val="746"/>
    <w:link w:val="738"/>
    <w:uiPriority w:val="9"/>
    <w:rPr>
      <w:rFonts w:ascii="Arial" w:hAnsi="Arial" w:eastAsia="Arial" w:cs="Arial"/>
      <w:sz w:val="34"/>
    </w:rPr>
  </w:style>
  <w:style w:type="character" w:styleId="722">
    <w:name w:val="Heading 3 Char"/>
    <w:basedOn w:val="746"/>
    <w:link w:val="739"/>
    <w:uiPriority w:val="9"/>
    <w:rPr>
      <w:rFonts w:ascii="Arial" w:hAnsi="Arial" w:eastAsia="Arial" w:cs="Arial"/>
      <w:sz w:val="30"/>
      <w:szCs w:val="30"/>
    </w:rPr>
  </w:style>
  <w:style w:type="character" w:styleId="723">
    <w:name w:val="Heading 4 Char"/>
    <w:basedOn w:val="746"/>
    <w:link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24">
    <w:name w:val="Heading 5 Char"/>
    <w:basedOn w:val="746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25">
    <w:name w:val="Heading 6 Char"/>
    <w:basedOn w:val="74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726">
    <w:name w:val="Heading 7 Char"/>
    <w:basedOn w:val="746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8 Char"/>
    <w:basedOn w:val="746"/>
    <w:link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28">
    <w:name w:val="Heading 9 Char"/>
    <w:basedOn w:val="746"/>
    <w:link w:val="745"/>
    <w:uiPriority w:val="9"/>
    <w:rPr>
      <w:rFonts w:ascii="Arial" w:hAnsi="Arial" w:eastAsia="Arial" w:cs="Arial"/>
      <w:i/>
      <w:iCs/>
      <w:sz w:val="21"/>
      <w:szCs w:val="21"/>
    </w:rPr>
  </w:style>
  <w:style w:type="character" w:styleId="729">
    <w:name w:val="Title Char"/>
    <w:basedOn w:val="746"/>
    <w:link w:val="760"/>
    <w:uiPriority w:val="10"/>
    <w:rPr>
      <w:sz w:val="48"/>
      <w:szCs w:val="48"/>
    </w:rPr>
  </w:style>
  <w:style w:type="character" w:styleId="730">
    <w:name w:val="Subtitle Char"/>
    <w:basedOn w:val="746"/>
    <w:link w:val="762"/>
    <w:uiPriority w:val="11"/>
    <w:rPr>
      <w:sz w:val="24"/>
      <w:szCs w:val="24"/>
    </w:rPr>
  </w:style>
  <w:style w:type="character" w:styleId="731">
    <w:name w:val="Quote Char"/>
    <w:link w:val="764"/>
    <w:uiPriority w:val="29"/>
    <w:rPr>
      <w:i/>
    </w:rPr>
  </w:style>
  <w:style w:type="character" w:styleId="732">
    <w:name w:val="Intense Quote Char"/>
    <w:link w:val="766"/>
    <w:uiPriority w:val="30"/>
    <w:rPr>
      <w:i/>
    </w:rPr>
  </w:style>
  <w:style w:type="character" w:styleId="733">
    <w:name w:val="Caption Char"/>
    <w:basedOn w:val="746"/>
    <w:link w:val="772"/>
    <w:uiPriority w:val="35"/>
    <w:rPr>
      <w:b/>
      <w:bCs/>
      <w:color w:val="4f81bd" w:themeColor="accent1"/>
      <w:sz w:val="18"/>
      <w:szCs w:val="18"/>
    </w:rPr>
  </w:style>
  <w:style w:type="character" w:styleId="734">
    <w:name w:val="Footnote Text Char"/>
    <w:link w:val="901"/>
    <w:uiPriority w:val="99"/>
    <w:rPr>
      <w:sz w:val="18"/>
    </w:rPr>
  </w:style>
  <w:style w:type="character" w:styleId="735">
    <w:name w:val="Endnote Text Char"/>
    <w:link w:val="904"/>
    <w:uiPriority w:val="99"/>
    <w:rPr>
      <w:sz w:val="20"/>
    </w:rPr>
  </w:style>
  <w:style w:type="paragraph" w:styleId="736" w:default="1">
    <w:name w:val="Normal"/>
    <w:qFormat/>
    <w:rPr>
      <w:lang w:eastAsia="ru-RU"/>
    </w:rPr>
  </w:style>
  <w:style w:type="paragraph" w:styleId="737">
    <w:name w:val="Heading 1"/>
    <w:basedOn w:val="736"/>
    <w:next w:val="736"/>
    <w:link w:val="749"/>
    <w:qFormat/>
    <w:pPr>
      <w:ind w:right="-1" w:firstLine="709"/>
      <w:jc w:val="both"/>
      <w:keepNext/>
      <w:outlineLvl w:val="0"/>
    </w:pPr>
    <w:rPr>
      <w:sz w:val="24"/>
    </w:rPr>
  </w:style>
  <w:style w:type="paragraph" w:styleId="738">
    <w:name w:val="Heading 2"/>
    <w:basedOn w:val="736"/>
    <w:next w:val="736"/>
    <w:link w:val="750"/>
    <w:qFormat/>
    <w:pPr>
      <w:ind w:right="-1"/>
      <w:jc w:val="both"/>
      <w:keepNext/>
      <w:outlineLvl w:val="1"/>
    </w:pPr>
    <w:rPr>
      <w:sz w:val="24"/>
    </w:rPr>
  </w:style>
  <w:style w:type="paragraph" w:styleId="739">
    <w:name w:val="Heading 3"/>
    <w:basedOn w:val="736"/>
    <w:next w:val="736"/>
    <w:link w:val="7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736"/>
    <w:next w:val="736"/>
    <w:link w:val="7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736"/>
    <w:next w:val="736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736"/>
    <w:next w:val="736"/>
    <w:link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736"/>
    <w:next w:val="736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736"/>
    <w:next w:val="736"/>
    <w:link w:val="7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736"/>
    <w:next w:val="736"/>
    <w:link w:val="7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character" w:styleId="749" w:customStyle="1">
    <w:name w:val="Заголовок 1 Знак"/>
    <w:link w:val="737"/>
    <w:uiPriority w:val="9"/>
    <w:rPr>
      <w:rFonts w:ascii="Arial" w:hAnsi="Arial" w:eastAsia="Arial" w:cs="Arial"/>
      <w:sz w:val="40"/>
      <w:szCs w:val="40"/>
    </w:rPr>
  </w:style>
  <w:style w:type="character" w:styleId="750" w:customStyle="1">
    <w:name w:val="Заголовок 2 Знак"/>
    <w:link w:val="738"/>
    <w:uiPriority w:val="9"/>
    <w:rPr>
      <w:rFonts w:ascii="Arial" w:hAnsi="Arial" w:eastAsia="Arial" w:cs="Arial"/>
      <w:sz w:val="34"/>
    </w:rPr>
  </w:style>
  <w:style w:type="character" w:styleId="751" w:customStyle="1">
    <w:name w:val="Заголовок 3 Знак"/>
    <w:link w:val="739"/>
    <w:uiPriority w:val="9"/>
    <w:rPr>
      <w:rFonts w:ascii="Arial" w:hAnsi="Arial" w:eastAsia="Arial" w:cs="Arial"/>
      <w:sz w:val="30"/>
      <w:szCs w:val="30"/>
    </w:rPr>
  </w:style>
  <w:style w:type="character" w:styleId="752" w:customStyle="1">
    <w:name w:val="Заголовок 4 Знак"/>
    <w:link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Заголовок 5 Знак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Заголовок 6 Знак"/>
    <w:link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Заголовок 7 Знак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Заголовок 8 Знак"/>
    <w:link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Заголовок 9 Знак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58">
    <w:name w:val="List Paragraph"/>
    <w:basedOn w:val="73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60">
    <w:name w:val="Title"/>
    <w:basedOn w:val="736"/>
    <w:next w:val="736"/>
    <w:link w:val="7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1" w:customStyle="1">
    <w:name w:val="Заголовок Знак"/>
    <w:link w:val="760"/>
    <w:uiPriority w:val="10"/>
    <w:rPr>
      <w:sz w:val="48"/>
      <w:szCs w:val="48"/>
    </w:rPr>
  </w:style>
  <w:style w:type="paragraph" w:styleId="762">
    <w:name w:val="Subtitle"/>
    <w:basedOn w:val="736"/>
    <w:next w:val="736"/>
    <w:link w:val="763"/>
    <w:uiPriority w:val="11"/>
    <w:qFormat/>
    <w:pPr>
      <w:spacing w:before="200" w:after="200"/>
    </w:pPr>
    <w:rPr>
      <w:sz w:val="24"/>
      <w:szCs w:val="24"/>
    </w:rPr>
  </w:style>
  <w:style w:type="character" w:styleId="763" w:customStyle="1">
    <w:name w:val="Подзаголовок Знак"/>
    <w:link w:val="762"/>
    <w:uiPriority w:val="11"/>
    <w:rPr>
      <w:sz w:val="24"/>
      <w:szCs w:val="24"/>
    </w:rPr>
  </w:style>
  <w:style w:type="paragraph" w:styleId="764">
    <w:name w:val="Quote"/>
    <w:basedOn w:val="736"/>
    <w:next w:val="736"/>
    <w:link w:val="765"/>
    <w:uiPriority w:val="29"/>
    <w:qFormat/>
    <w:pPr>
      <w:ind w:left="720" w:right="720"/>
    </w:pPr>
    <w:rPr>
      <w:i/>
    </w:rPr>
  </w:style>
  <w:style w:type="character" w:styleId="765" w:customStyle="1">
    <w:name w:val="Цитата 2 Знак"/>
    <w:link w:val="764"/>
    <w:uiPriority w:val="29"/>
    <w:rPr>
      <w:i/>
    </w:rPr>
  </w:style>
  <w:style w:type="paragraph" w:styleId="766">
    <w:name w:val="Intense Quote"/>
    <w:basedOn w:val="736"/>
    <w:next w:val="736"/>
    <w:link w:val="76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 w:customStyle="1">
    <w:name w:val="Выделенная цитата Знак"/>
    <w:link w:val="766"/>
    <w:uiPriority w:val="30"/>
    <w:rPr>
      <w:i/>
    </w:rPr>
  </w:style>
  <w:style w:type="paragraph" w:styleId="768">
    <w:name w:val="Header"/>
    <w:basedOn w:val="736"/>
    <w:link w:val="923"/>
    <w:uiPriority w:val="99"/>
    <w:pPr>
      <w:tabs>
        <w:tab w:val="center" w:pos="4153" w:leader="none"/>
        <w:tab w:val="right" w:pos="8306" w:leader="none"/>
      </w:tabs>
    </w:pPr>
  </w:style>
  <w:style w:type="character" w:styleId="769" w:customStyle="1">
    <w:name w:val="Header Char"/>
    <w:uiPriority w:val="99"/>
  </w:style>
  <w:style w:type="paragraph" w:styleId="770">
    <w:name w:val="Footer"/>
    <w:basedOn w:val="736"/>
    <w:link w:val="999"/>
    <w:pPr>
      <w:tabs>
        <w:tab w:val="center" w:pos="4153" w:leader="none"/>
        <w:tab w:val="right" w:pos="8306" w:leader="none"/>
      </w:tabs>
    </w:pPr>
  </w:style>
  <w:style w:type="character" w:styleId="771" w:customStyle="1">
    <w:name w:val="Footer Char"/>
    <w:uiPriority w:val="99"/>
  </w:style>
  <w:style w:type="paragraph" w:styleId="772">
    <w:name w:val="Caption"/>
    <w:basedOn w:val="736"/>
    <w:next w:val="736"/>
    <w:link w:val="773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3" w:customStyle="1">
    <w:name w:val="Название объекта Знак"/>
    <w:link w:val="772"/>
    <w:uiPriority w:val="35"/>
    <w:rPr>
      <w:b/>
      <w:bCs/>
      <w:color w:val="4f81bd" w:themeColor="accent1"/>
      <w:sz w:val="18"/>
      <w:szCs w:val="18"/>
    </w:rPr>
  </w:style>
  <w:style w:type="table" w:styleId="774">
    <w:name w:val="Table Grid"/>
    <w:basedOn w:val="747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7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0">
    <w:name w:val="Hyperlink"/>
    <w:uiPriority w:val="99"/>
    <w:unhideWhenUsed/>
    <w:rPr>
      <w:color w:val="0000ff"/>
      <w:u w:val="single"/>
    </w:rPr>
  </w:style>
  <w:style w:type="paragraph" w:styleId="901">
    <w:name w:val="footnote text"/>
    <w:basedOn w:val="736"/>
    <w:link w:val="902"/>
    <w:uiPriority w:val="99"/>
    <w:semiHidden/>
    <w:unhideWhenUsed/>
    <w:pPr>
      <w:spacing w:after="40"/>
    </w:pPr>
    <w:rPr>
      <w:sz w:val="18"/>
    </w:rPr>
  </w:style>
  <w:style w:type="character" w:styleId="902" w:customStyle="1">
    <w:name w:val="Текст сноски Знак"/>
    <w:link w:val="901"/>
    <w:uiPriority w:val="99"/>
    <w:rPr>
      <w:sz w:val="18"/>
    </w:rPr>
  </w:style>
  <w:style w:type="character" w:styleId="903">
    <w:name w:val="footnote reference"/>
    <w:uiPriority w:val="99"/>
    <w:unhideWhenUsed/>
    <w:rPr>
      <w:vertAlign w:val="superscript"/>
    </w:rPr>
  </w:style>
  <w:style w:type="paragraph" w:styleId="904">
    <w:name w:val="endnote text"/>
    <w:basedOn w:val="736"/>
    <w:link w:val="905"/>
    <w:uiPriority w:val="99"/>
    <w:semiHidden/>
    <w:unhideWhenUsed/>
  </w:style>
  <w:style w:type="character" w:styleId="905" w:customStyle="1">
    <w:name w:val="Текст концевой сноски Знак"/>
    <w:link w:val="904"/>
    <w:uiPriority w:val="99"/>
    <w:rPr>
      <w:sz w:val="20"/>
    </w:rPr>
  </w:style>
  <w:style w:type="character" w:styleId="906">
    <w:name w:val="endnote reference"/>
    <w:uiPriority w:val="99"/>
    <w:semiHidden/>
    <w:unhideWhenUsed/>
    <w:rPr>
      <w:vertAlign w:val="superscript"/>
    </w:rPr>
  </w:style>
  <w:style w:type="paragraph" w:styleId="907">
    <w:name w:val="toc 1"/>
    <w:basedOn w:val="736"/>
    <w:next w:val="736"/>
    <w:uiPriority w:val="39"/>
    <w:unhideWhenUsed/>
    <w:pPr>
      <w:spacing w:after="57"/>
    </w:pPr>
  </w:style>
  <w:style w:type="paragraph" w:styleId="908">
    <w:name w:val="toc 2"/>
    <w:basedOn w:val="736"/>
    <w:next w:val="736"/>
    <w:uiPriority w:val="39"/>
    <w:unhideWhenUsed/>
    <w:pPr>
      <w:ind w:left="283"/>
      <w:spacing w:after="57"/>
    </w:pPr>
  </w:style>
  <w:style w:type="paragraph" w:styleId="909">
    <w:name w:val="toc 3"/>
    <w:basedOn w:val="736"/>
    <w:next w:val="736"/>
    <w:uiPriority w:val="39"/>
    <w:unhideWhenUsed/>
    <w:pPr>
      <w:ind w:left="567"/>
      <w:spacing w:after="57"/>
    </w:pPr>
  </w:style>
  <w:style w:type="paragraph" w:styleId="910">
    <w:name w:val="toc 4"/>
    <w:basedOn w:val="736"/>
    <w:next w:val="736"/>
    <w:uiPriority w:val="39"/>
    <w:unhideWhenUsed/>
    <w:pPr>
      <w:ind w:left="850"/>
      <w:spacing w:after="57"/>
    </w:pPr>
  </w:style>
  <w:style w:type="paragraph" w:styleId="911">
    <w:name w:val="toc 5"/>
    <w:basedOn w:val="736"/>
    <w:next w:val="736"/>
    <w:uiPriority w:val="39"/>
    <w:unhideWhenUsed/>
    <w:pPr>
      <w:ind w:left="1134"/>
      <w:spacing w:after="57"/>
    </w:pPr>
  </w:style>
  <w:style w:type="paragraph" w:styleId="912">
    <w:name w:val="toc 6"/>
    <w:basedOn w:val="736"/>
    <w:next w:val="736"/>
    <w:uiPriority w:val="39"/>
    <w:unhideWhenUsed/>
    <w:pPr>
      <w:ind w:left="1417"/>
      <w:spacing w:after="57"/>
    </w:pPr>
  </w:style>
  <w:style w:type="paragraph" w:styleId="913">
    <w:name w:val="toc 7"/>
    <w:basedOn w:val="736"/>
    <w:next w:val="736"/>
    <w:uiPriority w:val="39"/>
    <w:unhideWhenUsed/>
    <w:pPr>
      <w:ind w:left="1701"/>
      <w:spacing w:after="57"/>
    </w:pPr>
  </w:style>
  <w:style w:type="paragraph" w:styleId="914">
    <w:name w:val="toc 8"/>
    <w:basedOn w:val="736"/>
    <w:next w:val="736"/>
    <w:uiPriority w:val="39"/>
    <w:unhideWhenUsed/>
    <w:pPr>
      <w:ind w:left="1984"/>
      <w:spacing w:after="57"/>
    </w:pPr>
  </w:style>
  <w:style w:type="paragraph" w:styleId="915">
    <w:name w:val="toc 9"/>
    <w:basedOn w:val="736"/>
    <w:next w:val="736"/>
    <w:uiPriority w:val="39"/>
    <w:unhideWhenUsed/>
    <w:pPr>
      <w:ind w:left="2268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736"/>
    <w:next w:val="736"/>
    <w:uiPriority w:val="99"/>
    <w:unhideWhenUsed/>
  </w:style>
  <w:style w:type="paragraph" w:styleId="918">
    <w:name w:val="Body Text"/>
    <w:basedOn w:val="736"/>
    <w:link w:val="942"/>
    <w:pPr>
      <w:ind w:right="3117"/>
    </w:pPr>
    <w:rPr>
      <w:rFonts w:ascii="Courier New" w:hAnsi="Courier New"/>
      <w:sz w:val="26"/>
    </w:rPr>
  </w:style>
  <w:style w:type="paragraph" w:styleId="919">
    <w:name w:val="Body Text Indent"/>
    <w:basedOn w:val="736"/>
    <w:pPr>
      <w:ind w:right="-1"/>
      <w:jc w:val="both"/>
    </w:pPr>
    <w:rPr>
      <w:sz w:val="26"/>
    </w:rPr>
  </w:style>
  <w:style w:type="character" w:styleId="920">
    <w:name w:val="page number"/>
    <w:basedOn w:val="746"/>
  </w:style>
  <w:style w:type="paragraph" w:styleId="921">
    <w:name w:val="Balloon Text"/>
    <w:basedOn w:val="736"/>
    <w:link w:val="922"/>
    <w:rPr>
      <w:rFonts w:ascii="Segoe UI" w:hAnsi="Segoe UI" w:cs="Segoe UI"/>
      <w:sz w:val="18"/>
      <w:szCs w:val="18"/>
    </w:rPr>
  </w:style>
  <w:style w:type="character" w:styleId="922" w:customStyle="1">
    <w:name w:val="Текст выноски Знак"/>
    <w:link w:val="921"/>
    <w:rPr>
      <w:rFonts w:ascii="Segoe UI" w:hAnsi="Segoe UI" w:cs="Segoe UI"/>
      <w:sz w:val="18"/>
      <w:szCs w:val="18"/>
    </w:rPr>
  </w:style>
  <w:style w:type="character" w:styleId="923" w:customStyle="1">
    <w:name w:val="Верхний колонтитул Знак"/>
    <w:link w:val="768"/>
    <w:uiPriority w:val="99"/>
  </w:style>
  <w:style w:type="numbering" w:styleId="924" w:customStyle="1">
    <w:name w:val="Нет списка1"/>
    <w:next w:val="748"/>
    <w:uiPriority w:val="99"/>
    <w:semiHidden/>
    <w:unhideWhenUsed/>
  </w:style>
  <w:style w:type="character" w:styleId="925">
    <w:name w:val="FollowedHyperlink"/>
    <w:uiPriority w:val="99"/>
    <w:unhideWhenUsed/>
    <w:rPr>
      <w:color w:val="800080"/>
      <w:u w:val="single"/>
    </w:rPr>
  </w:style>
  <w:style w:type="paragraph" w:styleId="926" w:customStyle="1">
    <w:name w:val="xl65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66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67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 w:customStyle="1">
    <w:name w:val="xl68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0" w:customStyle="1">
    <w:name w:val="xl69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0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2" w:customStyle="1">
    <w:name w:val="xl71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2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3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4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5"/>
    <w:basedOn w:val="73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6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7"/>
    <w:basedOn w:val="73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8"/>
    <w:basedOn w:val="73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9"/>
    <w:basedOn w:val="73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Форма"/>
    <w:rPr>
      <w:sz w:val="28"/>
      <w:szCs w:val="28"/>
      <w:lang w:eastAsia="ru-RU"/>
    </w:rPr>
  </w:style>
  <w:style w:type="character" w:styleId="942" w:customStyle="1">
    <w:name w:val="Основной текст Знак"/>
    <w:link w:val="918"/>
    <w:rPr>
      <w:rFonts w:ascii="Courier New" w:hAnsi="Courier New"/>
      <w:sz w:val="26"/>
    </w:rPr>
  </w:style>
  <w:style w:type="paragraph" w:styleId="943" w:customStyle="1">
    <w:name w:val="ConsPlusNormal"/>
    <w:rPr>
      <w:sz w:val="28"/>
      <w:szCs w:val="28"/>
      <w:lang w:eastAsia="ru-RU"/>
    </w:rPr>
  </w:style>
  <w:style w:type="numbering" w:styleId="944" w:customStyle="1">
    <w:name w:val="Нет списка11"/>
    <w:next w:val="748"/>
    <w:uiPriority w:val="99"/>
    <w:semiHidden/>
    <w:unhideWhenUsed/>
  </w:style>
  <w:style w:type="numbering" w:styleId="945" w:customStyle="1">
    <w:name w:val="Нет списка111"/>
    <w:next w:val="748"/>
    <w:uiPriority w:val="99"/>
    <w:semiHidden/>
    <w:unhideWhenUsed/>
  </w:style>
  <w:style w:type="paragraph" w:styleId="946" w:customStyle="1">
    <w:name w:val="font5"/>
    <w:basedOn w:val="73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7" w:customStyle="1">
    <w:name w:val="xl80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8" w:customStyle="1">
    <w:name w:val="xl81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9" w:customStyle="1">
    <w:name w:val="xl82"/>
    <w:basedOn w:val="73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50" w:customStyle="1">
    <w:name w:val="xl83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84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85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86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87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5" w:customStyle="1">
    <w:name w:val="xl88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6" w:customStyle="1">
    <w:name w:val="xl89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0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1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2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0" w:customStyle="1">
    <w:name w:val="xl93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94"/>
    <w:basedOn w:val="73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5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6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97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8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6" w:customStyle="1">
    <w:name w:val="xl99"/>
    <w:basedOn w:val="73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100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1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2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3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4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5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6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7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8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9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10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1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2"/>
    <w:basedOn w:val="73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0" w:customStyle="1">
    <w:name w:val="xl113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14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15"/>
    <w:basedOn w:val="73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3" w:customStyle="1">
    <w:name w:val="xl116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17"/>
    <w:basedOn w:val="73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8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19"/>
    <w:basedOn w:val="73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20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8" w:customStyle="1">
    <w:name w:val="xl121"/>
    <w:basedOn w:val="73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9" w:customStyle="1">
    <w:name w:val="xl122"/>
    <w:basedOn w:val="73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23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1" w:customStyle="1">
    <w:name w:val="xl124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2" w:customStyle="1">
    <w:name w:val="xl125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3" w:customStyle="1">
    <w:name w:val="Нет списка2"/>
    <w:next w:val="748"/>
    <w:uiPriority w:val="99"/>
    <w:semiHidden/>
    <w:unhideWhenUsed/>
  </w:style>
  <w:style w:type="numbering" w:styleId="994" w:customStyle="1">
    <w:name w:val="Нет списка3"/>
    <w:next w:val="748"/>
    <w:uiPriority w:val="99"/>
    <w:semiHidden/>
    <w:unhideWhenUsed/>
  </w:style>
  <w:style w:type="paragraph" w:styleId="995" w:customStyle="1">
    <w:name w:val="font6"/>
    <w:basedOn w:val="73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6" w:customStyle="1">
    <w:name w:val="font7"/>
    <w:basedOn w:val="73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7" w:customStyle="1">
    <w:name w:val="font8"/>
    <w:basedOn w:val="73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8" w:customStyle="1">
    <w:name w:val="Нет списка4"/>
    <w:next w:val="748"/>
    <w:uiPriority w:val="99"/>
    <w:semiHidden/>
    <w:unhideWhenUsed/>
  </w:style>
  <w:style w:type="character" w:styleId="999" w:customStyle="1">
    <w:name w:val="Нижний колонтитул Знак"/>
    <w:link w:val="770"/>
    <w:uiPriority w:val="99"/>
  </w:style>
  <w:style w:type="numbering" w:styleId="1000" w:customStyle="1">
    <w:name w:val="Нет списка5"/>
    <w:next w:val="748"/>
    <w:semiHidden/>
  </w:style>
  <w:style w:type="paragraph" w:styleId="1001" w:customStyle="1">
    <w:name w:val="Приложение"/>
    <w:basedOn w:val="918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02" w:customStyle="1">
    <w:name w:val="Подпись на  бланке должностного лица"/>
    <w:basedOn w:val="736"/>
    <w:next w:val="918"/>
    <w:pPr>
      <w:ind w:left="7088"/>
      <w:spacing w:before="480" w:line="240" w:lineRule="exact"/>
    </w:pPr>
    <w:rPr>
      <w:sz w:val="28"/>
    </w:rPr>
  </w:style>
  <w:style w:type="paragraph" w:styleId="1003">
    <w:name w:val="Signature"/>
    <w:basedOn w:val="736"/>
    <w:next w:val="918"/>
    <w:link w:val="1004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1004" w:customStyle="1">
    <w:name w:val="Подпись Знак"/>
    <w:link w:val="1003"/>
    <w:rPr>
      <w:sz w:val="28"/>
    </w:rPr>
  </w:style>
  <w:style w:type="character" w:styleId="1005">
    <w:name w:val="annotation reference"/>
    <w:rPr>
      <w:sz w:val="16"/>
      <w:szCs w:val="16"/>
    </w:rPr>
  </w:style>
  <w:style w:type="paragraph" w:styleId="1006">
    <w:name w:val="annotation text"/>
    <w:basedOn w:val="736"/>
    <w:link w:val="1007"/>
    <w:pPr>
      <w:ind w:firstLine="720"/>
      <w:jc w:val="both"/>
    </w:pPr>
  </w:style>
  <w:style w:type="character" w:styleId="1007" w:customStyle="1">
    <w:name w:val="Текст примечания Знак"/>
    <w:basedOn w:val="746"/>
    <w:link w:val="1006"/>
  </w:style>
  <w:style w:type="paragraph" w:styleId="1008">
    <w:name w:val="annotation subject"/>
    <w:basedOn w:val="1006"/>
    <w:next w:val="1006"/>
    <w:link w:val="1009"/>
    <w:rPr>
      <w:b/>
      <w:bCs/>
    </w:rPr>
  </w:style>
  <w:style w:type="character" w:styleId="1009" w:customStyle="1">
    <w:name w:val="Тема примечания Знак"/>
    <w:link w:val="1008"/>
    <w:rPr>
      <w:b/>
      <w:bCs/>
    </w:rPr>
  </w:style>
  <w:style w:type="paragraph" w:styleId="1010">
    <w:name w:val="Normal (Web)"/>
    <w:basedOn w:val="736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consultantplus://offline/ref=B458321A75629C72871C3A5F48AFA6D20516F7FEF04DA7AED4528D543AF64B8B99B117C6364169184B233EM2b6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5</cp:revision>
  <dcterms:created xsi:type="dcterms:W3CDTF">2025-10-07T05:01:00Z</dcterms:created>
  <dcterms:modified xsi:type="dcterms:W3CDTF">2025-10-10T09:23:58Z</dcterms:modified>
  <cp:version>1048576</cp:version>
</cp:coreProperties>
</file>