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9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756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756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spacing w:line="240" w:lineRule="exact"/>
      </w:pPr>
      <w:r/>
      <w:bookmarkStart w:id="0" w:name="_Hlk345729"/>
      <w:r/>
      <w:r/>
    </w:p>
    <w:p>
      <w:pPr>
        <w:pStyle w:val="959"/>
        <w:spacing w:line="240" w:lineRule="exact"/>
      </w:pPr>
      <w:r/>
      <w:r/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Об утверждении размера нормативных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затрат на выполнение муниципальной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работы «Организация и проведение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культурно-массовых мероприятий»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(публичные лекции) и нормативных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затрат на содержание муниципального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имущества на 2026 год и плановый период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  <w:widowControl w:val="off"/>
        <w:rPr>
          <w:b/>
        </w:rPr>
      </w:pPr>
      <w:r>
        <w:rPr>
          <w:b/>
        </w:rPr>
        <w:t xml:space="preserve">2027-2028 годов, значений натуральных норм, </w:t>
      </w:r>
      <w:r>
        <w:rPr>
          <w:b/>
        </w:rPr>
        <w:br/>
        <w:t xml:space="preserve">необходимых для определения базовых </w:t>
      </w:r>
      <w:r>
        <w:rPr>
          <w:b/>
        </w:rPr>
        <w:br/>
        <w:t xml:space="preserve">нормативов затрат на выполнение </w:t>
      </w:r>
      <w:r>
        <w:rPr>
          <w:b/>
        </w:rPr>
        <w:br/>
        <w:t xml:space="preserve">муниципальной работы «Организация </w:t>
      </w:r>
      <w:r>
        <w:rPr>
          <w:b/>
        </w:rPr>
        <w:br/>
        <w:t xml:space="preserve">и проведение культурно-массовых </w:t>
      </w:r>
      <w:r>
        <w:rPr>
          <w:b/>
        </w:rPr>
        <w:br/>
        <w:t xml:space="preserve">мероприятий» (публичные лекции) </w:t>
      </w:r>
      <w:r>
        <w:rPr>
          <w:b/>
        </w:rPr>
      </w:r>
      <w:r>
        <w:rPr>
          <w:b/>
        </w:rPr>
      </w:r>
    </w:p>
    <w:p>
      <w:pPr>
        <w:pStyle w:val="959"/>
        <w:spacing w:line="240" w:lineRule="exact"/>
      </w:pPr>
      <w:r/>
      <w:r/>
    </w:p>
    <w:p>
      <w:pPr>
        <w:pStyle w:val="959"/>
        <w:spacing w:line="240" w:lineRule="exact"/>
      </w:pPr>
      <w:r/>
      <w:bookmarkEnd w:id="0"/>
      <w:r/>
      <w:r/>
    </w:p>
    <w:p>
      <w:pPr>
        <w:pStyle w:val="959"/>
        <w:spacing w:line="240" w:lineRule="exact"/>
      </w:pPr>
      <w:r/>
      <w:r/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Законом Российской Федерации от 09 октября 1992 г. </w:t>
      </w:r>
      <w:r>
        <w:rPr>
          <w:sz w:val="28"/>
          <w:szCs w:val="24"/>
        </w:rPr>
        <w:br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закон</w:t>
      </w:r>
      <w:r>
        <w:rPr>
          <w:sz w:val="28"/>
          <w:szCs w:val="24"/>
        </w:rPr>
        <w:t xml:space="preserve">а</w:t>
      </w:r>
      <w:r>
        <w:rPr>
          <w:sz w:val="28"/>
          <w:szCs w:val="24"/>
        </w:rPr>
        <w:t xml:space="preserve">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4"/>
        </w:rPr>
        <w:t xml:space="preserve">от 20 марта 2025 г. </w:t>
        <w:br/>
      </w:r>
      <w:r>
        <w:rPr>
          <w:sz w:val="28"/>
          <w:szCs w:val="24"/>
        </w:rPr>
        <w:t xml:space="preserve">№ 33-ФЗ «Об общих принципах организации местного самоуправления в единой системе публичной власти», </w:t>
      </w:r>
      <w:hyperlink r:id="rId15" w:tooltip="consultantplus://offline/ref=B458321A75629C72871C3A5F48AFA6D20516F7FEF04DA7AED4528D543AF64B8B99B117C6364169184B233EM2b6K" w:history="1">
        <w:r>
          <w:rPr>
            <w:sz w:val="28"/>
            <w:szCs w:val="28"/>
          </w:rPr>
          <w:t xml:space="preserve">Уставом</w:t>
        </w:r>
      </w:hyperlink>
      <w:r>
        <w:rPr>
          <w:sz w:val="28"/>
          <w:szCs w:val="24"/>
        </w:rPr>
        <w:t xml:space="preserve"> города Перми, </w:t>
      </w:r>
      <w:hyperlink r:id="rId16" w:tooltip="consultantplus://offline/ref=B458321A75629C72871C3A5F48AFA6D20516F7FEF34EA6A7D2528D543AF64B8B99B117C6364169184A243FM2bAK" w:history="1">
        <w:r>
          <w:rPr>
            <w:sz w:val="28"/>
            <w:szCs w:val="28"/>
          </w:rPr>
          <w:t xml:space="preserve">постановлени</w:t>
        </w:r>
      </w:hyperlink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от 24 августа 2016 г.</w:t>
      </w:r>
      <w:r>
        <w:rPr>
          <w:sz w:val="28"/>
          <w:szCs w:val="24"/>
        </w:rPr>
        <w:t xml:space="preserve"> </w:t>
        <w:br/>
      </w:r>
      <w:r>
        <w:rPr>
          <w:sz w:val="28"/>
          <w:szCs w:val="24"/>
        </w:rPr>
        <w:t xml:space="preserve">№ 623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«Об утверждении Методики расчета нормативных затрат </w:t>
      </w:r>
      <w:r>
        <w:rPr>
          <w:sz w:val="28"/>
          <w:szCs w:val="28"/>
        </w:rPr>
        <w:t xml:space="preserve">на выполнение муниципальной работы «Организация и проведение культурно-массовых мероприятий» (публичные лекции) </w:t>
      </w:r>
      <w:r>
        <w:rPr>
          <w:sz w:val="28"/>
          <w:szCs w:val="24"/>
        </w:rPr>
        <w:t xml:space="preserve">и нормативных затрат на содержание муниципального имущества»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/>
      <w:bookmarkStart w:id="1" w:name="sub_3"/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8"/>
        </w:rPr>
        <w:t xml:space="preserve"> нормативных затрат на выполнение муниципальной работы </w:t>
      </w:r>
      <w:r>
        <w:rPr>
          <w:sz w:val="28"/>
          <w:szCs w:val="28"/>
        </w:rPr>
        <w:br/>
        <w:t xml:space="preserve">«Организация и проведение культурно-массовых мероприятий» (публичные лекции) </w:t>
      </w:r>
      <w:r>
        <w:rPr>
          <w:sz w:val="28"/>
          <w:szCs w:val="24"/>
        </w:rPr>
        <w:t xml:space="preserve">и нормативных затрат на содержание муниципального имущества</w:t>
      </w:r>
      <w:r>
        <w:rPr>
          <w:sz w:val="28"/>
          <w:szCs w:val="28"/>
        </w:rPr>
        <w:t xml:space="preserve"> на 2026 год и плановый период 2027-2028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1.2.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нормативов затрат </w:t>
      </w:r>
      <w:r>
        <w:rPr>
          <w:sz w:val="28"/>
          <w:szCs w:val="28"/>
        </w:rPr>
        <w:t xml:space="preserve">на выполнение муниципальной работы «Организация и проведение культурно-массовых мероприятий» (публичные лекции)</w:t>
      </w:r>
      <w:r>
        <w:rPr>
          <w:sz w:val="28"/>
          <w:szCs w:val="24"/>
        </w:rPr>
        <w:t xml:space="preserve">.</w:t>
      </w:r>
      <w:bookmarkEnd w:id="1"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Признать утратившими силу</w:t>
      </w:r>
      <w:bookmarkStart w:id="2" w:name="_Hlk491772580"/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постановление администрации города Перми от 03 сентября 2024 г. № 729 «Об утверждении </w:t>
      </w:r>
      <w:hyperlink w:tooltip="#sub_1000" w:anchor="sub_1000" w:history="1">
        <w:r>
          <w:rPr>
            <w:sz w:val="28"/>
            <w:szCs w:val="24"/>
          </w:rPr>
          <w:t xml:space="preserve">размер</w:t>
        </w:r>
      </w:hyperlink>
      <w:r>
        <w:rPr>
          <w:sz w:val="28"/>
          <w:szCs w:val="24"/>
        </w:rPr>
        <w:t xml:space="preserve">а нормативных затрат на выполнение муниципальной работы «Организация и проведение культурно-массовых мероприятий» (публичные лекции) и нормативных затрат на содержание муниципального имущества, уплату налогов на 2025 год и плановый период 2026-2027 годов </w:t>
      </w:r>
      <w:bookmarkEnd w:id="2"/>
      <w:r>
        <w:rPr>
          <w:sz w:val="28"/>
          <w:szCs w:val="24"/>
        </w:rPr>
        <w:t xml:space="preserve">и значений натуральных норм, необходимых для определения базовых нормативов затрат на выполнение муниципальной работы «Организация и проведение культурно-массовых мероприятий» (публичные лекции)»;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4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20"/>
        <w:jc w:val="both"/>
        <w:spacing w:line="240" w:lineRule="exact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</w:t>
      </w:r>
      <w:r>
        <w:rPr>
          <w:color w:val="000000"/>
          <w:sz w:val="28"/>
          <w:szCs w:val="28"/>
        </w:rPr>
        <w:tab/>
        <w:t xml:space="preserve">                 Э.О. Соснин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680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944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10.10.2025 № 756</w:t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 w:type="textWrapping" w:clear="all"/>
        <w:t xml:space="preserve">«Организация и проведение культурно-массовых мероприятий» </w:t>
      </w:r>
      <w:r>
        <w:rPr>
          <w:b/>
          <w:sz w:val="28"/>
          <w:szCs w:val="28"/>
        </w:rPr>
        <w:br w:type="textWrapping" w:clear="all"/>
        <w:t xml:space="preserve">(публичные лекции) </w:t>
      </w:r>
      <w:r>
        <w:rPr>
          <w:b/>
          <w:sz w:val="28"/>
          <w:szCs w:val="24"/>
        </w:rPr>
        <w:t xml:space="preserve">и нормативных затрат на содержание муниципального имущества</w:t>
      </w:r>
      <w:r>
        <w:rPr>
          <w:b/>
          <w:sz w:val="28"/>
          <w:szCs w:val="28"/>
        </w:rPr>
        <w:t xml:space="preserve"> на 2026 год 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0"/>
        <w:gridCol w:w="1491"/>
      </w:tblGrid>
      <w:tr>
        <w:tblPrEx/>
        <w:trPr>
          <w:tblHeader/>
        </w:trPr>
        <w:tc>
          <w:tcPr>
            <w:tcW w:w="4248" w:type="pct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0"/>
        <w:gridCol w:w="1491"/>
      </w:tblGrid>
      <w:tr>
        <w:tblPrEx/>
        <w:trPr>
          <w:tblHeader/>
        </w:trPr>
        <w:tc>
          <w:tcPr>
            <w:tcW w:w="4248" w:type="pct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162,00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  <w:br/>
              <w:t xml:space="preserve">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163,00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128,00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118 152,00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325,00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162,00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  <w:br/>
              <w:t xml:space="preserve">по оплате труда работников, непосредственно связанных </w:t>
            </w:r>
            <w:r>
              <w:rPr>
                <w:sz w:val="28"/>
                <w:szCs w:val="28"/>
              </w:rPr>
              <w:br/>
              <w:t xml:space="preserve">с выполнением муниципальной работы, включая страховые взносы </w:t>
            </w:r>
            <w:r>
              <w:rPr>
                <w:sz w:val="28"/>
                <w:szCs w:val="28"/>
              </w:rPr>
              <w:br/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163,00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  <w:br/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128,00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118 152,00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выполнение муниципальной работы,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325,00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162,00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  <w:br w:type="textWrapping" w:clear="all"/>
              <w:t xml:space="preserve">с выполнением муниципальной работы, и начисления на выплаты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выполнением муниципальной работы, включая страховые взносы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выполнение муниципальной работы,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163,00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</w:t>
            </w:r>
            <w:r>
              <w:rPr>
                <w:sz w:val="28"/>
                <w:szCs w:val="28"/>
              </w:rPr>
              <w:br/>
              <w:t xml:space="preserve">и начисления на выплаты по оплате труда работников, которые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принимают непосредственного участия в выполнении муниципальной работы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128,00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48" w:type="pct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118 152,00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48" w:firstLine="708"/>
        <w:rPr>
          <w:sz w:val="28"/>
          <w:szCs w:val="28"/>
        </w:rPr>
        <w:sectPr>
          <w:headerReference w:type="default" r:id="rId11"/>
          <w:headerReference w:type="even" r:id="rId12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9639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10.10.2025 № 756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выполнение </w:t>
      </w:r>
      <w:r>
        <w:rPr>
          <w:b/>
          <w:sz w:val="28"/>
          <w:szCs w:val="28"/>
        </w:rPr>
        <w:br w:type="textWrapping" w:clear="all"/>
        <w:t xml:space="preserve">муниципальной работы «Организация и проведение культурно-массовых мероприятий» (публичные лекции)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677"/>
        <w:gridCol w:w="3071"/>
        <w:gridCol w:w="2237"/>
        <w:gridCol w:w="1395"/>
        <w:gridCol w:w="4680"/>
      </w:tblGrid>
      <w:tr>
        <w:tblPrEx/>
        <w:trPr/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Наименование муниципальной работы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Уникальный номер реестровой записи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Наименование натуральной </w:t>
            </w:r>
            <w:r>
              <w:rPr>
                <w:sz w:val="24"/>
                <w:szCs w:val="24"/>
              </w:rPr>
              <w:br w:type="textWrapping" w:clear="all"/>
              <w:t xml:space="preserve">нормы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677"/>
        <w:gridCol w:w="3071"/>
        <w:gridCol w:w="2237"/>
        <w:gridCol w:w="1395"/>
        <w:gridCol w:w="4680"/>
      </w:tblGrid>
      <w:tr>
        <w:tblPrEx/>
        <w:trPr>
          <w:tblHeader/>
        </w:trPr>
        <w:tc>
          <w:tcPr>
            <w:tcW w:w="180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Организация </w:t>
            </w:r>
            <w:r>
              <w:rPr>
                <w:rFonts w:eastAsia="Calibri"/>
                <w:sz w:val="24"/>
                <w:szCs w:val="24"/>
              </w:rPr>
              <w:br/>
              <w:t xml:space="preserve">и проведение культурно-массовых мероприятий (публичные лекции)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0709331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 xml:space="preserve">Натуральные нормы, используемые при определении затрат на оплату труда с начис</w:t>
            </w:r>
            <w:r>
              <w:rPr>
                <w:sz w:val="24"/>
                <w:szCs w:val="24"/>
              </w:rPr>
              <w:t xml:space="preserve">лениями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методист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0,00003160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лектор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0,00006320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администратор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0,00003160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художник-фотограф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звукооператор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специалист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0,00002100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электроэнергия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0,06182400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теплоэнергия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Гкал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0,00041731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водоснабжение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0,00103040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водоотведение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0,00103040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электроэнергия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кВт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0,05325286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теплоэнергия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Гкал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0,00039269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водоснабжение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0,00096960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водоотведение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куб. м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0,00096960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дератизация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содержание газонов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и живой изгороди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обслуживание охранной сигнализации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обслуживание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электрооборудования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уборка территории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2.3. Содержание объектов особо ценного движимого имущества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обслуживание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видеонаблюдения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обслуживание систем пожарной сигнализации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обслуживание систем кондиционирования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техническое обслуживание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автотранспорта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2.4. Услуги связи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телефонная точка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номеров, ед.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0,00002100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Интернет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сотовая связь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номеров, ед.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0,00005300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телефония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номеров, ед.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0,00002100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связь стандарта СДМА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(беспроводная)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количество единиц подключения, ед.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2.5. </w:t>
            </w:r>
            <w:r>
              <w:rPr>
                <w:sz w:val="24"/>
                <w:szCs w:val="24"/>
              </w:rPr>
              <w:t xml:space="preserve">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  <w:r>
              <w:rPr>
                <w:rFonts w:eastAsia="Calibri"/>
                <w:sz w:val="24"/>
                <w:szCs w:val="24"/>
              </w:rPr>
              <w:br/>
              <w:t xml:space="preserve">по культурно-просветительской работе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  <w:r>
              <w:rPr>
                <w:rFonts w:eastAsia="Calibri"/>
                <w:sz w:val="24"/>
                <w:szCs w:val="24"/>
              </w:rPr>
              <w:br/>
              <w:t xml:space="preserve">по административно-хозяйственной части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контролер билетный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кассир билетный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0,00002100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водитель автомобиля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0,00002100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рабочий по комплексному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обслуживанию здания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штатная единица</w:t>
            </w:r>
            <w:r>
              <w:rPr>
                <w:rFonts w:eastAsia="Calibri"/>
                <w:sz w:val="24"/>
                <w:szCs w:val="24"/>
              </w:rPr>
            </w:r>
            <w:r/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4"/>
            <w:tcW w:w="1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2.6. Прочие общехозяйственные нужды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пультовой охраны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по информационному обслуживанию и программному обеспечению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обслуживание узла тепловой энергии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размещение рекламно-информационных материалов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страхование имущества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предрейсовые медицинские осмотры водителей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обслуживание оргтехники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заправка картриджей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приобретение неисключительных прав на программное обеспечение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обслуживание Интернет-сайта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подготовка и проведение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тематических мероприятий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изготовление билетов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ремонт фасада здания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 цифровой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</w:r>
            <w:r>
              <w:rPr>
                <w:rFonts w:eastAsia="Calibri"/>
                <w:sz w:val="24"/>
                <w:szCs w:val="24"/>
              </w:rPr>
              <w:t xml:space="preserve">полнокупольной</w:t>
            </w:r>
            <w:r>
              <w:rPr>
                <w:rFonts w:eastAsia="Calibri"/>
                <w:sz w:val="24"/>
                <w:szCs w:val="24"/>
              </w:rPr>
              <w:t xml:space="preserve"> проекции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кинотеатральный проектор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для проецирования фронтальных изображений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видеокамера для съемки видео в формате 4К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переносная система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со сферическим зеркалом </w:t>
            </w:r>
            <w:r>
              <w:rPr>
                <w:rFonts w:eastAsia="Calibri"/>
                <w:sz w:val="24"/>
                <w:szCs w:val="24"/>
              </w:rPr>
              <w:br w:type="textWrapping" w:clear="all"/>
              <w:t xml:space="preserve">(мобильный планетарий)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кресло в зрительный зал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0,00105290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автомобиль легковой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принтер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0,00005300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компьютер в комплекте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0,00005300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многофункциональное устройство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0,00002100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бумага для офисной техники А4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пачка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0,00010000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ручка шариковая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шт.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0,00066300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горюче-смазочные </w:t>
            </w:r>
            <w:r>
              <w:rPr>
                <w:rFonts w:eastAsia="Calibri"/>
                <w:sz w:val="24"/>
                <w:szCs w:val="24"/>
              </w:rPr>
              <w:br/>
              <w:t xml:space="preserve">материалы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литр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0,02497400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канцелярские товары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сумма в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/>
        <w:tc>
          <w:tcPr>
            <w:tcW w:w="18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хозяйственные товары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2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сумма в год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41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0,00001050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</w:pPr>
    <w:r/>
    <w:r/>
  </w:p>
  <w:p>
    <w:pPr>
      <w:pStyle w:val="78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rPr>
        <w:rStyle w:val="938"/>
      </w:rPr>
      <w:framePr w:wrap="around" w:vAnchor="text" w:hAnchor="margin" w:xAlign="center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7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Caption Char"/>
    <w:basedOn w:val="749"/>
    <w:link w:val="790"/>
    <w:uiPriority w:val="35"/>
    <w:rPr>
      <w:b/>
      <w:bCs/>
      <w:color w:val="4f81bd" w:themeColor="accent1"/>
      <w:sz w:val="18"/>
      <w:szCs w:val="18"/>
    </w:rPr>
  </w:style>
  <w:style w:type="paragraph" w:styleId="739" w:default="1">
    <w:name w:val="Normal"/>
    <w:qFormat/>
    <w:rPr>
      <w:lang w:eastAsia="ru-RU"/>
    </w:rPr>
  </w:style>
  <w:style w:type="paragraph" w:styleId="740">
    <w:name w:val="Heading 1"/>
    <w:basedOn w:val="739"/>
    <w:next w:val="739"/>
    <w:link w:val="767"/>
    <w:qFormat/>
    <w:pPr>
      <w:ind w:right="-1" w:firstLine="709"/>
      <w:jc w:val="both"/>
      <w:keepNext/>
      <w:outlineLvl w:val="0"/>
    </w:pPr>
    <w:rPr>
      <w:sz w:val="24"/>
    </w:rPr>
  </w:style>
  <w:style w:type="paragraph" w:styleId="741">
    <w:name w:val="Heading 2"/>
    <w:basedOn w:val="739"/>
    <w:next w:val="739"/>
    <w:link w:val="768"/>
    <w:qFormat/>
    <w:pPr>
      <w:ind w:right="-1"/>
      <w:jc w:val="both"/>
      <w:keepNext/>
      <w:outlineLvl w:val="1"/>
    </w:pPr>
    <w:rPr>
      <w:sz w:val="24"/>
    </w:rPr>
  </w:style>
  <w:style w:type="paragraph" w:styleId="742">
    <w:name w:val="Heading 3"/>
    <w:basedOn w:val="739"/>
    <w:next w:val="739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Heading 1 Char"/>
    <w:basedOn w:val="749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49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9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9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9"/>
    <w:uiPriority w:val="9"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9"/>
    <w:uiPriority w:val="10"/>
    <w:rPr>
      <w:sz w:val="48"/>
      <w:szCs w:val="48"/>
    </w:rPr>
  </w:style>
  <w:style w:type="character" w:styleId="762" w:customStyle="1">
    <w:name w:val="Subtitle Char"/>
    <w:basedOn w:val="749"/>
    <w:uiPriority w:val="11"/>
    <w:rPr>
      <w:sz w:val="24"/>
      <w:szCs w:val="24"/>
    </w:rPr>
  </w:style>
  <w:style w:type="character" w:styleId="763" w:customStyle="1">
    <w:name w:val="Quote Char"/>
    <w:uiPriority w:val="29"/>
    <w:rPr>
      <w:i/>
    </w:rPr>
  </w:style>
  <w:style w:type="character" w:styleId="764" w:customStyle="1">
    <w:name w:val="Intense Quote Char"/>
    <w:uiPriority w:val="30"/>
    <w:rPr>
      <w:i/>
    </w:rPr>
  </w:style>
  <w:style w:type="character" w:styleId="765" w:customStyle="1">
    <w:name w:val="Footnote Text Char"/>
    <w:uiPriority w:val="99"/>
    <w:rPr>
      <w:sz w:val="18"/>
    </w:rPr>
  </w:style>
  <w:style w:type="character" w:styleId="766" w:customStyle="1">
    <w:name w:val="Endnote Text Char"/>
    <w:uiPriority w:val="99"/>
    <w:rPr>
      <w:sz w:val="20"/>
    </w:rPr>
  </w:style>
  <w:style w:type="character" w:styleId="767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link w:val="741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3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7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8">
    <w:name w:val="Title"/>
    <w:basedOn w:val="739"/>
    <w:next w:val="739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Заголовок Знак"/>
    <w:link w:val="778"/>
    <w:uiPriority w:val="10"/>
    <w:rPr>
      <w:sz w:val="48"/>
      <w:szCs w:val="48"/>
    </w:rPr>
  </w:style>
  <w:style w:type="paragraph" w:styleId="780">
    <w:name w:val="Subtitle"/>
    <w:basedOn w:val="739"/>
    <w:next w:val="739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link w:val="780"/>
    <w:uiPriority w:val="11"/>
    <w:rPr>
      <w:sz w:val="24"/>
      <w:szCs w:val="24"/>
    </w:rPr>
  </w:style>
  <w:style w:type="paragraph" w:styleId="782">
    <w:name w:val="Quote"/>
    <w:basedOn w:val="739"/>
    <w:next w:val="739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39"/>
    <w:next w:val="739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paragraph" w:styleId="786">
    <w:name w:val="Header"/>
    <w:basedOn w:val="739"/>
    <w:link w:val="941"/>
    <w:uiPriority w:val="99"/>
    <w:pPr>
      <w:tabs>
        <w:tab w:val="center" w:pos="4153" w:leader="none"/>
        <w:tab w:val="right" w:pos="8306" w:leader="none"/>
      </w:tabs>
    </w:pPr>
  </w:style>
  <w:style w:type="character" w:styleId="787" w:customStyle="1">
    <w:name w:val="Header Char"/>
    <w:uiPriority w:val="99"/>
  </w:style>
  <w:style w:type="paragraph" w:styleId="788">
    <w:name w:val="Footer"/>
    <w:basedOn w:val="739"/>
    <w:link w:val="1017"/>
    <w:pPr>
      <w:tabs>
        <w:tab w:val="center" w:pos="4153" w:leader="none"/>
        <w:tab w:val="right" w:pos="8306" w:leader="none"/>
      </w:tabs>
    </w:pPr>
  </w:style>
  <w:style w:type="character" w:styleId="789" w:customStyle="1">
    <w:name w:val="Footer Char"/>
    <w:uiPriority w:val="99"/>
  </w:style>
  <w:style w:type="paragraph" w:styleId="790">
    <w:name w:val="Caption"/>
    <w:basedOn w:val="739"/>
    <w:next w:val="739"/>
    <w:link w:val="79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1" w:customStyle="1">
    <w:name w:val="Название объекта Знак"/>
    <w:link w:val="790"/>
    <w:uiPriority w:val="99"/>
  </w:style>
  <w:style w:type="table" w:styleId="792">
    <w:name w:val="Table Grid"/>
    <w:basedOn w:val="750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/>
      <w:u w:val="single"/>
    </w:rPr>
  </w:style>
  <w:style w:type="paragraph" w:styleId="919">
    <w:name w:val="footnote text"/>
    <w:basedOn w:val="739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uiPriority w:val="99"/>
    <w:unhideWhenUsed/>
    <w:rPr>
      <w:vertAlign w:val="superscript"/>
    </w:rPr>
  </w:style>
  <w:style w:type="paragraph" w:styleId="922">
    <w:name w:val="endnote text"/>
    <w:basedOn w:val="739"/>
    <w:link w:val="923"/>
    <w:uiPriority w:val="99"/>
    <w:semiHidden/>
    <w:unhideWhenUsed/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uiPriority w:val="99"/>
    <w:semiHidden/>
    <w:unhideWhenUsed/>
    <w:rPr>
      <w:vertAlign w:val="superscript"/>
    </w:rPr>
  </w:style>
  <w:style w:type="paragraph" w:styleId="925">
    <w:name w:val="toc 1"/>
    <w:basedOn w:val="739"/>
    <w:next w:val="739"/>
    <w:uiPriority w:val="39"/>
    <w:unhideWhenUsed/>
    <w:pPr>
      <w:spacing w:after="57"/>
    </w:pPr>
  </w:style>
  <w:style w:type="paragraph" w:styleId="926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27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28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9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30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31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32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33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39"/>
    <w:next w:val="739"/>
    <w:uiPriority w:val="99"/>
    <w:unhideWhenUsed/>
  </w:style>
  <w:style w:type="paragraph" w:styleId="936">
    <w:name w:val="Body Text"/>
    <w:basedOn w:val="739"/>
    <w:link w:val="960"/>
    <w:pPr>
      <w:ind w:right="3117"/>
    </w:pPr>
    <w:rPr>
      <w:rFonts w:ascii="Courier New" w:hAnsi="Courier New"/>
      <w:sz w:val="26"/>
    </w:rPr>
  </w:style>
  <w:style w:type="paragraph" w:styleId="937">
    <w:name w:val="Body Text Indent"/>
    <w:basedOn w:val="739"/>
    <w:pPr>
      <w:ind w:right="-1"/>
      <w:jc w:val="both"/>
    </w:pPr>
    <w:rPr>
      <w:sz w:val="26"/>
    </w:rPr>
  </w:style>
  <w:style w:type="character" w:styleId="938">
    <w:name w:val="page number"/>
    <w:basedOn w:val="749"/>
  </w:style>
  <w:style w:type="paragraph" w:styleId="939">
    <w:name w:val="Balloon Text"/>
    <w:basedOn w:val="739"/>
    <w:link w:val="940"/>
    <w:rPr>
      <w:rFonts w:ascii="Segoe UI" w:hAnsi="Segoe UI" w:cs="Segoe UI"/>
      <w:sz w:val="18"/>
      <w:szCs w:val="18"/>
    </w:rPr>
  </w:style>
  <w:style w:type="character" w:styleId="940" w:customStyle="1">
    <w:name w:val="Текст выноски Знак"/>
    <w:link w:val="939"/>
    <w:rPr>
      <w:rFonts w:ascii="Segoe UI" w:hAnsi="Segoe UI" w:cs="Segoe UI"/>
      <w:sz w:val="18"/>
      <w:szCs w:val="18"/>
    </w:rPr>
  </w:style>
  <w:style w:type="character" w:styleId="941" w:customStyle="1">
    <w:name w:val="Верхний колонтитул Знак"/>
    <w:link w:val="786"/>
    <w:uiPriority w:val="99"/>
  </w:style>
  <w:style w:type="numbering" w:styleId="942" w:customStyle="1">
    <w:name w:val="Нет списка1"/>
    <w:next w:val="751"/>
    <w:uiPriority w:val="99"/>
    <w:semiHidden/>
    <w:unhideWhenUsed/>
  </w:style>
  <w:style w:type="character" w:styleId="943">
    <w:name w:val="FollowedHyperlink"/>
    <w:uiPriority w:val="99"/>
    <w:unhideWhenUsed/>
    <w:rPr>
      <w:color w:val="800080"/>
      <w:u w:val="single"/>
    </w:rPr>
  </w:style>
  <w:style w:type="paragraph" w:styleId="944" w:customStyle="1">
    <w:name w:val="xl65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66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7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68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8" w:customStyle="1">
    <w:name w:val="xl69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0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0" w:customStyle="1">
    <w:name w:val="xl71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2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3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4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5"/>
    <w:basedOn w:val="73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6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7"/>
    <w:basedOn w:val="73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8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9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Форма"/>
    <w:rPr>
      <w:sz w:val="28"/>
      <w:szCs w:val="28"/>
      <w:lang w:eastAsia="ru-RU"/>
    </w:rPr>
  </w:style>
  <w:style w:type="character" w:styleId="960" w:customStyle="1">
    <w:name w:val="Основной текст Знак"/>
    <w:link w:val="936"/>
    <w:rPr>
      <w:rFonts w:ascii="Courier New" w:hAnsi="Courier New"/>
      <w:sz w:val="26"/>
    </w:rPr>
  </w:style>
  <w:style w:type="paragraph" w:styleId="961" w:customStyle="1">
    <w:name w:val="ConsPlusNormal"/>
    <w:rPr>
      <w:sz w:val="28"/>
      <w:szCs w:val="28"/>
      <w:lang w:eastAsia="ru-RU"/>
    </w:rPr>
  </w:style>
  <w:style w:type="numbering" w:styleId="962" w:customStyle="1">
    <w:name w:val="Нет списка11"/>
    <w:next w:val="751"/>
    <w:uiPriority w:val="99"/>
    <w:semiHidden/>
    <w:unhideWhenUsed/>
  </w:style>
  <w:style w:type="numbering" w:styleId="963" w:customStyle="1">
    <w:name w:val="Нет списка111"/>
    <w:next w:val="751"/>
    <w:uiPriority w:val="99"/>
    <w:semiHidden/>
    <w:unhideWhenUsed/>
  </w:style>
  <w:style w:type="paragraph" w:styleId="964" w:customStyle="1">
    <w:name w:val="font5"/>
    <w:basedOn w:val="73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5" w:customStyle="1">
    <w:name w:val="xl80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6" w:customStyle="1">
    <w:name w:val="xl81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2"/>
    <w:basedOn w:val="73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3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4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85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6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7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88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4" w:customStyle="1">
    <w:name w:val="xl89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0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1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2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8" w:customStyle="1">
    <w:name w:val="xl93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4"/>
    <w:basedOn w:val="73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5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6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7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8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4" w:customStyle="1">
    <w:name w:val="xl99"/>
    <w:basedOn w:val="73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100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1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2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3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4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5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6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7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8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9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0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1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2"/>
    <w:basedOn w:val="73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8" w:customStyle="1">
    <w:name w:val="xl113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4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5"/>
    <w:basedOn w:val="73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1" w:customStyle="1">
    <w:name w:val="xl116"/>
    <w:basedOn w:val="73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7"/>
    <w:basedOn w:val="73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8"/>
    <w:basedOn w:val="73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9"/>
    <w:basedOn w:val="73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0"/>
    <w:basedOn w:val="73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1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2"/>
    <w:basedOn w:val="73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3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4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5"/>
    <w:basedOn w:val="73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1" w:customStyle="1">
    <w:name w:val="Нет списка2"/>
    <w:next w:val="751"/>
    <w:uiPriority w:val="99"/>
    <w:semiHidden/>
    <w:unhideWhenUsed/>
  </w:style>
  <w:style w:type="numbering" w:styleId="1012" w:customStyle="1">
    <w:name w:val="Нет списка3"/>
    <w:next w:val="751"/>
    <w:uiPriority w:val="99"/>
    <w:semiHidden/>
    <w:unhideWhenUsed/>
  </w:style>
  <w:style w:type="paragraph" w:styleId="1013" w:customStyle="1">
    <w:name w:val="font6"/>
    <w:basedOn w:val="73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4" w:customStyle="1">
    <w:name w:val="font7"/>
    <w:basedOn w:val="73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5" w:customStyle="1">
    <w:name w:val="font8"/>
    <w:basedOn w:val="73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6" w:customStyle="1">
    <w:name w:val="Нет списка4"/>
    <w:next w:val="751"/>
    <w:uiPriority w:val="99"/>
    <w:semiHidden/>
    <w:unhideWhenUsed/>
  </w:style>
  <w:style w:type="character" w:styleId="1017" w:customStyle="1">
    <w:name w:val="Нижний колонтитул Знак"/>
    <w:link w:val="788"/>
    <w:uiPriority w:val="99"/>
  </w:style>
  <w:style w:type="numbering" w:styleId="1018" w:customStyle="1">
    <w:name w:val="Нет списка5"/>
    <w:next w:val="751"/>
    <w:semiHidden/>
  </w:style>
  <w:style w:type="paragraph" w:styleId="1019" w:customStyle="1">
    <w:name w:val="Приложение"/>
    <w:basedOn w:val="93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20" w:customStyle="1">
    <w:name w:val="Подпись на  бланке должностного лица"/>
    <w:basedOn w:val="739"/>
    <w:next w:val="936"/>
    <w:pPr>
      <w:ind w:left="7088"/>
      <w:spacing w:before="480" w:line="240" w:lineRule="exact"/>
    </w:pPr>
    <w:rPr>
      <w:sz w:val="28"/>
    </w:rPr>
  </w:style>
  <w:style w:type="paragraph" w:styleId="1021">
    <w:name w:val="Signature"/>
    <w:basedOn w:val="739"/>
    <w:next w:val="936"/>
    <w:link w:val="1022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22" w:customStyle="1">
    <w:name w:val="Подпись Знак"/>
    <w:link w:val="1021"/>
    <w:rPr>
      <w:sz w:val="28"/>
    </w:rPr>
  </w:style>
  <w:style w:type="character" w:styleId="1023">
    <w:name w:val="annotation reference"/>
    <w:rPr>
      <w:sz w:val="16"/>
      <w:szCs w:val="16"/>
    </w:rPr>
  </w:style>
  <w:style w:type="paragraph" w:styleId="1024">
    <w:name w:val="annotation text"/>
    <w:basedOn w:val="739"/>
    <w:link w:val="1025"/>
    <w:pPr>
      <w:ind w:firstLine="720"/>
      <w:jc w:val="both"/>
    </w:pPr>
  </w:style>
  <w:style w:type="character" w:styleId="1025" w:customStyle="1">
    <w:name w:val="Текст примечания Знак"/>
    <w:basedOn w:val="749"/>
    <w:link w:val="1024"/>
  </w:style>
  <w:style w:type="paragraph" w:styleId="1026">
    <w:name w:val="annotation subject"/>
    <w:basedOn w:val="1024"/>
    <w:next w:val="1024"/>
    <w:link w:val="1027"/>
    <w:rPr>
      <w:b/>
      <w:bCs/>
    </w:rPr>
  </w:style>
  <w:style w:type="character" w:styleId="1027" w:customStyle="1">
    <w:name w:val="Тема примечания Знак"/>
    <w:link w:val="1026"/>
    <w:rPr>
      <w:b/>
      <w:bCs/>
    </w:rPr>
  </w:style>
  <w:style w:type="paragraph" w:styleId="1028">
    <w:name w:val="Normal (Web)"/>
    <w:basedOn w:val="739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ref=B458321A75629C72871C3A5F48AFA6D20516F7FEF04DA7AED4528D543AF64B8B99B117C6364169184B233EM2b6K" TargetMode="External"/><Relationship Id="rId16" Type="http://schemas.openxmlformats.org/officeDocument/2006/relationships/hyperlink" Target="consultantplus://offline/ref=B458321A75629C72871C3A5F48AFA6D20516F7FEF34EA6A7D2528D543AF64B8B99B117C6364169184A243FM2b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2025-10-07T05:55:00Z</dcterms:created>
  <dcterms:modified xsi:type="dcterms:W3CDTF">2025-10-10T09:28:53Z</dcterms:modified>
  <cp:version>1048576</cp:version>
</cp:coreProperties>
</file>