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7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-2"/>
        <w:spacing w:line="240" w:lineRule="exact"/>
        <w:rPr>
          <w:b/>
        </w:rPr>
      </w:pPr>
      <w:r/>
      <w:bookmarkStart w:id="0" w:name="_Hlk345729"/>
      <w:r>
        <w:rPr>
          <w:b/>
        </w:rPr>
        <w:t xml:space="preserve">Об утверждении размеров нормативных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«Организация и проведение </w:t>
      </w:r>
      <w:r>
        <w:rPr>
          <w:b/>
        </w:rPr>
        <w:br w:type="textWrapping" w:clear="all"/>
        <w:t xml:space="preserve">мероприятий» (осуществляемых </w:t>
      </w:r>
      <w:r>
        <w:rPr>
          <w:b/>
        </w:rPr>
        <w:br w:type="textWrapping" w:clear="all"/>
        <w:t xml:space="preserve">на платной основе) и нормативных </w:t>
      </w:r>
      <w:r>
        <w:rPr>
          <w:b/>
        </w:rPr>
        <w:br w:type="textWrapping" w:clear="all"/>
        <w:t xml:space="preserve">затрат на содержание муниципального </w:t>
      </w:r>
      <w:r>
        <w:rPr>
          <w:b/>
        </w:rPr>
        <w:br w:type="textWrapping" w:clear="all"/>
        <w:t xml:space="preserve">имущества на 2026 год и плановый период </w:t>
      </w:r>
      <w:r>
        <w:rPr>
          <w:b/>
        </w:rPr>
      </w:r>
    </w:p>
    <w:p>
      <w:pPr>
        <w:pStyle w:val="939"/>
        <w:ind w:right="-2"/>
        <w:spacing w:line="240" w:lineRule="exact"/>
        <w:rPr>
          <w:b/>
        </w:rPr>
      </w:pPr>
      <w:r>
        <w:rPr>
          <w:b/>
        </w:rPr>
        <w:t xml:space="preserve">2027-2028 годов, отраслевых корректирующих </w:t>
      </w:r>
      <w:r>
        <w:rPr>
          <w:b/>
        </w:rPr>
        <w:br w:type="textWrapping" w:clear="all"/>
        <w:t xml:space="preserve">коэффициентов к базовому нормативу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«Организация и проведение </w:t>
      </w:r>
      <w:r>
        <w:rPr>
          <w:b/>
        </w:rPr>
        <w:br w:type="textWrapping" w:clear="all"/>
        <w:t xml:space="preserve">мероприятий» (осуществляемых </w:t>
      </w:r>
      <w:r>
        <w:rPr>
          <w:b/>
        </w:rPr>
        <w:br w:type="textWrapping" w:clear="all"/>
        <w:t xml:space="preserve">на платной основе), значений </w:t>
      </w:r>
      <w:r>
        <w:rPr>
          <w:b/>
        </w:rPr>
        <w:br w:type="textWrapping" w:clear="all"/>
        <w:t xml:space="preserve">натуральных норм, необходимых </w:t>
      </w:r>
      <w:r>
        <w:rPr>
          <w:b/>
        </w:rPr>
        <w:br w:type="textWrapping" w:clear="all"/>
        <w:t xml:space="preserve">для определения базовых нормативов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«Организация и проведение </w:t>
      </w:r>
      <w:r>
        <w:rPr>
          <w:b/>
        </w:rPr>
        <w:br w:type="textWrapping" w:clear="all"/>
        <w:t xml:space="preserve">мероприятий» (осуществляемых </w:t>
      </w:r>
      <w:r>
        <w:rPr>
          <w:b/>
        </w:rPr>
        <w:br w:type="textWrapping" w:clear="all"/>
        <w:t xml:space="preserve">на платной основе)</w:t>
      </w:r>
      <w:r>
        <w:t xml:space="preserve"> </w:t>
      </w:r>
      <w:r>
        <w:rPr>
          <w:b/>
        </w:rPr>
      </w:r>
    </w:p>
    <w:p>
      <w:pPr>
        <w:pStyle w:val="939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39"/>
        <w:spacing w:line="240" w:lineRule="exact"/>
        <w:rPr>
          <w:b/>
        </w:rPr>
      </w:pPr>
      <w:r>
        <w:rPr>
          <w:b/>
        </w:rPr>
      </w:r>
      <w:bookmarkEnd w:id="0"/>
      <w:r>
        <w:rPr>
          <w:b/>
        </w:rPr>
      </w:r>
    </w:p>
    <w:p>
      <w:pPr>
        <w:pStyle w:val="939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</w:t>
      </w:r>
      <w:r>
        <w:rPr>
          <w:sz w:val="28"/>
          <w:szCs w:val="28"/>
        </w:rPr>
        <w:t xml:space="preserve">Законом Российской Федерации </w:t>
      </w:r>
      <w:r>
        <w:rPr>
          <w:sz w:val="28"/>
          <w:szCs w:val="24"/>
        </w:rPr>
        <w:t xml:space="preserve">от 09 октября 1992 г. </w:t>
      </w:r>
      <w:r>
        <w:rPr>
          <w:sz w:val="28"/>
          <w:szCs w:val="24"/>
        </w:rPr>
        <w:br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закон</w:t>
      </w:r>
      <w:r>
        <w:rPr>
          <w:sz w:val="28"/>
          <w:szCs w:val="24"/>
        </w:rPr>
        <w:t xml:space="preserve">ами</w:t>
      </w:r>
      <w:r>
        <w:rPr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pacing w:val="2"/>
          <w:sz w:val="28"/>
          <w:szCs w:val="24"/>
        </w:rPr>
        <w:t xml:space="preserve">от 20 марта 2025 г. </w:t>
      </w:r>
      <w:r>
        <w:rPr>
          <w:spacing w:val="2"/>
          <w:sz w:val="28"/>
          <w:szCs w:val="24"/>
        </w:rPr>
        <w:t xml:space="preserve">          </w:t>
      </w:r>
      <w:r>
        <w:rPr>
          <w:spacing w:val="2"/>
          <w:sz w:val="28"/>
          <w:szCs w:val="24"/>
        </w:rPr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pacing w:val="2"/>
          <w:sz w:val="28"/>
          <w:szCs w:val="24"/>
        </w:rPr>
        <w:t xml:space="preserve"> </w:t>
      </w:r>
      <w:r>
        <w:rPr>
          <w:sz w:val="28"/>
          <w:szCs w:val="28"/>
        </w:rPr>
        <w:t xml:space="preserve">Уставом</w:t>
      </w:r>
      <w:r>
        <w:rPr>
          <w:sz w:val="28"/>
          <w:szCs w:val="24"/>
        </w:rPr>
        <w:t xml:space="preserve"> города Перми, </w:t>
      </w:r>
      <w:hyperlink r:id="rId14" w:tooltip="consultantplus://offline/ref=B458321A75629C72871C3A5F48AFA6D20516F7FEF34EA6A7D2528D543AF64B8B99B117C6364169184A243FM2bAK" w:history="1">
        <w:r>
          <w:rPr>
            <w:rStyle w:val="898"/>
            <w:color w:val="000000"/>
            <w:sz w:val="28"/>
            <w:szCs w:val="28"/>
            <w:u w:val="none"/>
          </w:rPr>
          <w:t xml:space="preserve">постановлени</w:t>
        </w:r>
      </w:hyperlink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ноября 2007 г. № 502 «О Порядке формирования, размещения, финансового обеспечения и контроля</w:t>
      </w:r>
      <w:r>
        <w:rPr>
          <w:sz w:val="28"/>
          <w:szCs w:val="24"/>
        </w:rPr>
        <w:t xml:space="preserve"> выполнения муниципального задания на оказание муниципальных услуг (выполнение работ)», от 19 октября 2016 г. № 904 «Об утверждении Методики расчета нормативных затрат на оказание муниципальной услуги «Организация и проведение мероприятий» (осуществляемых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на платной основе) и нормативных затрат на содержание муниципального имущества»</w:t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hyperlink r:id="rId15" w:tooltip="file:///Z:\..\..\..\..\..\..\Об%20утвержд.%20размера%20НЗ%20по%20организац.%20меропр.%20(на%20платн.%20основе)%2019-21гг..doc#sub_1000" w:anchor="sub_1000" w:history="1">
        <w:r>
          <w:rPr>
            <w:rStyle w:val="898"/>
            <w:color w:val="000000"/>
            <w:sz w:val="28"/>
            <w:szCs w:val="28"/>
            <w:u w:val="none"/>
          </w:rPr>
          <w:t xml:space="preserve">размер</w:t>
        </w:r>
      </w:hyperlink>
      <w:r>
        <w:rPr>
          <w:sz w:val="28"/>
          <w:szCs w:val="24"/>
        </w:rPr>
        <w:t xml:space="preserve">ы</w:t>
      </w:r>
      <w:r>
        <w:rPr>
          <w:sz w:val="28"/>
          <w:szCs w:val="28"/>
        </w:rPr>
        <w:t xml:space="preserve"> нормативных затрат на оказание </w:t>
      </w:r>
      <w:r>
        <w:rPr>
          <w:sz w:val="28"/>
          <w:szCs w:val="24"/>
        </w:rPr>
        <w:t xml:space="preserve">муниципальной услуги </w:t>
      </w:r>
      <w:bookmarkStart w:id="1" w:name="_Hlk525631861"/>
      <w:r>
        <w:rPr>
          <w:sz w:val="28"/>
          <w:szCs w:val="24"/>
        </w:rPr>
        <w:br w:type="textWrapping" w:clear="all"/>
        <w:t xml:space="preserve">«Организация и проведение мероприятий» (осуществляемых на платной основе) </w:t>
      </w:r>
      <w:r>
        <w:rPr>
          <w:sz w:val="28"/>
          <w:szCs w:val="24"/>
        </w:rPr>
        <w:br w:type="textWrapping" w:clear="all"/>
        <w:t xml:space="preserve">и нормативных затрат на содержание муниципального имущества</w:t>
      </w:r>
      <w:r>
        <w:rPr>
          <w:sz w:val="28"/>
          <w:szCs w:val="28"/>
        </w:rPr>
        <w:t xml:space="preserve"> на 2026 год </w:t>
      </w:r>
      <w:r>
        <w:rPr>
          <w:sz w:val="28"/>
          <w:szCs w:val="28"/>
        </w:rPr>
        <w:br/>
        <w:t xml:space="preserve">и плановый период 2027-2028 годов</w:t>
      </w:r>
      <w:bookmarkEnd w:id="1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затрат на оказание муниципальной услуги </w:t>
      </w:r>
      <w:r>
        <w:rPr>
          <w:sz w:val="28"/>
          <w:szCs w:val="24"/>
        </w:rPr>
        <w:t xml:space="preserve">«Организация и проведение мероприятий» (осуществляемых на платной основе);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нормативов затрат </w:t>
      </w:r>
      <w:r>
        <w:rPr>
          <w:sz w:val="28"/>
          <w:szCs w:val="28"/>
        </w:rPr>
        <w:t xml:space="preserve">на оказание </w:t>
      </w:r>
      <w:r>
        <w:rPr>
          <w:sz w:val="28"/>
          <w:szCs w:val="24"/>
        </w:rPr>
        <w:t xml:space="preserve">муниципальной услуги «Организация и проведение мероприятий» (осуществляемых на платной основе).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Признать утратившими силу</w:t>
      </w:r>
      <w:bookmarkStart w:id="2" w:name="_Hlk491772580"/>
      <w:r/>
      <w:bookmarkStart w:id="3" w:name="_Hlk525630801"/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постановление администрации города Перми от 03 сентября 2024 г. № 730 «Об утверждении </w:t>
      </w:r>
      <w:hyperlink r:id="rId16" w:tooltip="file:///Z:\..\..\..\..\..\..\Об%20утвержд.%20размера%20НЗ%20по%20организац.%20меропр.%20(на%20платн.%20основе)%2019-21гг..doc#sub_1000" w:anchor="sub_1000" w:history="1">
        <w:r>
          <w:rPr>
            <w:rStyle w:val="898"/>
            <w:color w:val="000000"/>
            <w:sz w:val="28"/>
            <w:szCs w:val="24"/>
            <w:u w:val="none"/>
          </w:rPr>
          <w:t xml:space="preserve">размер</w:t>
        </w:r>
      </w:hyperlink>
      <w:r>
        <w:rPr>
          <w:sz w:val="28"/>
          <w:szCs w:val="24"/>
        </w:rPr>
        <w:t xml:space="preserve">ов нормативных затрат на оказание муниципальной услуги </w:t>
      </w:r>
      <w:r>
        <w:rPr>
          <w:sz w:val="28"/>
          <w:szCs w:val="28"/>
        </w:rPr>
        <w:t xml:space="preserve">«Организация и проведение мероприятий» (осуществляемых на платной основе)</w:t>
      </w:r>
      <w:r>
        <w:rPr>
          <w:sz w:val="28"/>
          <w:szCs w:val="24"/>
        </w:rPr>
        <w:t xml:space="preserve"> и нормативных затрат на содержание муниципального имущества, уплату налогов на 2025 год и плановый период 2026-2027 годов, отраслевых корректирующих коэффиц</w:t>
      </w:r>
      <w:r>
        <w:rPr>
          <w:sz w:val="28"/>
          <w:szCs w:val="24"/>
        </w:rPr>
        <w:t xml:space="preserve">иентов к базовому нормативу затрат на оказание муниципальной услуги «Организация и проведение мероприятий» (осуществляемых на платной основе), значений натуральных норм, необходимых для определения базовых нормативов затрат на оказание муниципальной услуги</w:t>
      </w:r>
      <w:r>
        <w:rPr>
          <w:sz w:val="28"/>
          <w:szCs w:val="28"/>
        </w:rPr>
        <w:t xml:space="preserve"> «Организация и проведение мероприятий» (осуществляемых на платной основе)</w:t>
      </w:r>
      <w:bookmarkEnd w:id="2"/>
      <w:r/>
      <w:bookmarkEnd w:id="3"/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5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ab/>
        <w:t xml:space="preserve">                 Э.О. Соснин </w:t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83" w:lineRule="exact"/>
        <w:rPr>
          <w:sz w:val="28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10.10.2025 № 757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нормативных затрат на оказание </w:t>
      </w:r>
      <w:r>
        <w:rPr>
          <w:b/>
          <w:sz w:val="28"/>
          <w:szCs w:val="24"/>
        </w:rPr>
        <w:t xml:space="preserve">муниципальной услуги «Организация </w:t>
      </w:r>
      <w:r>
        <w:rPr>
          <w:b/>
          <w:sz w:val="28"/>
          <w:szCs w:val="24"/>
        </w:rPr>
        <w:br w:type="textWrapping" w:clear="all"/>
        <w:t xml:space="preserve">и проведение мероприятий» (осуществляемых на платной основе) </w:t>
      </w:r>
      <w:r>
        <w:rPr>
          <w:b/>
          <w:sz w:val="28"/>
          <w:szCs w:val="24"/>
        </w:rPr>
        <w:br w:type="textWrapping" w:clear="all"/>
        <w:t xml:space="preserve">и нормативных затрат на содержание муниципального имущества</w:t>
      </w:r>
      <w:r>
        <w:rPr>
          <w:b/>
          <w:sz w:val="28"/>
          <w:szCs w:val="28"/>
        </w:rPr>
        <w:t xml:space="preserve"> на 2026 год 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216"/>
        <w:gridCol w:w="1695"/>
      </w:tblGrid>
      <w:tr>
        <w:tblPrEx/>
        <w:trPr/>
        <w:tc>
          <w:tcPr>
            <w:tcW w:w="414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85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224"/>
        <w:gridCol w:w="1687"/>
      </w:tblGrid>
      <w:tr>
        <w:tblPrEx/>
        <w:trPr>
          <w:tblHeader/>
        </w:trPr>
        <w:tc>
          <w:tcPr>
            <w:tcW w:w="414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973 072,00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440 318,00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/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427 659,00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532 754,00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4 790,00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41 165,00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7 101,00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транспортных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412 029,00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67 306,00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отраслевого корректирующего коэффициента по виду творческой деятельности: выставка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1 197 735,00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426 643,00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973 072,00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440 318,00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/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427 659,00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532 754,00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4 790,00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41 165,00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7 101,00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транспортных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412 029,00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67 306,00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отраслевого корректирующего коэффициента по виду творческой деятельности: выставка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1 197 735,00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426 643,00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973 072,00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440 318,00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/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427 659,00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12 659,00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532 754,00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4 790,00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41 165,00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7 101,00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транспортных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412 029,00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67 306,00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отраслевого корректирующего коэффициента по виду творческой деятельности: выставка</w:t>
            </w:r>
            <w:r>
              <w:rPr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1 197 735,00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49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8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426 643,00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956" w:firstLine="70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460" w:firstLine="18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8550" w:firstLine="9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left="8550" w:firstLine="9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left="8460" w:firstLine="18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10.10.2025 № 757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ОТРАСЛЕВЫЕ КОРРЕКТИРУЮЩИЕ КОЭФФИЦИЕНТЫ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к базовому нормативу затрат на оказание муниципальной услуги </w:t>
      </w:r>
      <w:r>
        <w:rPr>
          <w:b/>
          <w:sz w:val="28"/>
          <w:szCs w:val="24"/>
        </w:rPr>
        <w:br w:type="textWrapping" w:clear="all"/>
        <w:t xml:space="preserve">«Организация и проведение мероприятий» (осуществляемых на платной основе)</w:t>
      </w:r>
      <w:r>
        <w:rPr>
          <w:b/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60"/>
        <w:gridCol w:w="3820"/>
        <w:gridCol w:w="2787"/>
        <w:gridCol w:w="3276"/>
      </w:tblGrid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Уникальный номер </w:t>
            </w:r>
            <w:r>
              <w:rPr>
                <w:sz w:val="28"/>
                <w:szCs w:val="28"/>
              </w:rPr>
              <w:br/>
              <w:t xml:space="preserve">реестровой записи</w:t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отраслевой специфики</w:t>
            </w: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отраслевых корректирующих коэффициентов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W w:w="5070" w:type="dxa"/>
            <w:textDirection w:val="lrTb"/>
            <w:noWrap w:val="false"/>
          </w:tcPr>
          <w:p>
            <w:pPr>
              <w:ind w:right="-28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мероприятий (осуществляемых на платной основе)</w:t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900400О.99.</w:t>
            </w:r>
            <w:r>
              <w:rPr>
                <w:sz w:val="28"/>
                <w:szCs w:val="28"/>
              </w:rPr>
              <w:t xml:space="preserve">0.ББ</w:t>
            </w:r>
            <w:r>
              <w:rPr>
                <w:sz w:val="28"/>
                <w:szCs w:val="28"/>
              </w:rPr>
              <w:t xml:space="preserve">84АА00001</w:t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</w:t>
            </w: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1,23088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34" w:left="1418" w:header="568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10.10.2025 № 757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</w:t>
      </w:r>
      <w:r>
        <w:rPr>
          <w:b/>
          <w:sz w:val="28"/>
          <w:szCs w:val="24"/>
        </w:rPr>
        <w:t xml:space="preserve">«Организация и проведение мероприятий» (осуществляемых на платной основе)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19"/>
        <w:gridCol w:w="4114"/>
        <w:gridCol w:w="1676"/>
        <w:gridCol w:w="1544"/>
        <w:gridCol w:w="2458"/>
      </w:tblGrid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sz w:val="24"/>
                <w:szCs w:val="24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4"/>
              </w:rPr>
            </w:r>
          </w:p>
        </w:tc>
        <w:tc>
          <w:tcPr>
            <w:tcW w:w="41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формы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5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"/>
          <w:szCs w:val="4"/>
        </w:rPr>
      </w:pPr>
      <w:r>
        <w:rPr>
          <w:sz w:val="2"/>
          <w:szCs w:val="4"/>
        </w:rPr>
      </w:r>
      <w:r>
        <w:rPr>
          <w:sz w:val="2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26"/>
        <w:gridCol w:w="4115"/>
        <w:gridCol w:w="1679"/>
        <w:gridCol w:w="1533"/>
        <w:gridCol w:w="2452"/>
      </w:tblGrid>
      <w:tr>
        <w:tblPrEx/>
        <w:trPr>
          <w:tblHeader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</w:t>
            </w:r>
            <w:r>
              <w:rPr>
                <w:sz w:val="24"/>
                <w:szCs w:val="24"/>
              </w:rPr>
              <w:br w:type="textWrapping" w:clear="all"/>
              <w:t xml:space="preserve">и проведение мероприятий» (осуществляемых на платной основе)</w:t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900400О.99.</w:t>
            </w:r>
            <w:r>
              <w:rPr>
                <w:sz w:val="24"/>
                <w:szCs w:val="24"/>
              </w:rPr>
              <w:t xml:space="preserve">0.ББ</w:t>
            </w:r>
            <w:r>
              <w:rPr>
                <w:sz w:val="24"/>
                <w:szCs w:val="24"/>
              </w:rPr>
              <w:t xml:space="preserve">84АА00001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</w:t>
            </w:r>
            <w:r>
              <w:rPr>
                <w:sz w:val="24"/>
                <w:szCs w:val="24"/>
              </w:rPr>
              <w:br/>
              <w:t xml:space="preserve">с начислениями на выплаты по оплате труда работников, непосредственно связанных </w:t>
            </w:r>
            <w:r>
              <w:rPr>
                <w:sz w:val="24"/>
                <w:szCs w:val="24"/>
              </w:rPr>
              <w:br/>
              <w:t xml:space="preserve">с оказанием муниципальной услуги, включая страховые взносы в Фонд пенсионного </w:t>
            </w:r>
            <w:r>
              <w:rPr>
                <w:sz w:val="24"/>
                <w:szCs w:val="24"/>
              </w:rPr>
              <w:br/>
              <w:t xml:space="preserve">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организации </w:t>
            </w:r>
            <w:r>
              <w:rPr>
                <w:sz w:val="24"/>
                <w:szCs w:val="24"/>
              </w:rPr>
              <w:br w:type="textWrapping" w:clear="all"/>
              <w:t xml:space="preserve">культурно-досуговых мероприятий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экспозиционного </w:t>
            </w:r>
            <w:r>
              <w:rPr>
                <w:sz w:val="24"/>
                <w:szCs w:val="24"/>
              </w:rPr>
              <w:br w:type="textWrapping" w:clear="all"/>
              <w:t xml:space="preserve">и выставочного отдела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0,166667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звукорежиссер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 по свету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режиссер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оказанием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481,393781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5,072804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12,886258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12,886258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</w:t>
            </w:r>
            <w:r>
              <w:rPr>
                <w:sz w:val="24"/>
                <w:szCs w:val="24"/>
              </w:rPr>
              <w:br/>
              <w:t xml:space="preserve">за исключением затрат, непосредственно связанных с оказанием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151,439552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1,595796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4,053742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4,053742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</w:t>
            </w:r>
            <w:r>
              <w:rPr>
                <w:sz w:val="24"/>
                <w:szCs w:val="24"/>
              </w:rPr>
              <w:br w:type="textWrapping" w:clear="all"/>
              <w:t xml:space="preserve">отходов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помещений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охранно-тревожной сигнализации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систем центрального отопления, водоснабжения, канализации и водостоков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электросетей и электрооборудования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опрессовка системы центрального отопления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Услуги связи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телефонная точка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0,111111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сотовая связь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номеров, ед.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0,222222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Транспортные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перевозке экспонатов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0,833330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</w:t>
            </w:r>
            <w:r>
              <w:rPr>
                <w:sz w:val="24"/>
                <w:szCs w:val="24"/>
              </w:rPr>
              <w:br/>
              <w:t xml:space="preserve">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юрисконсульт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инженер-проектировщик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хозяйством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decimal" w:pos="-2048" w:leader="none"/>
                <w:tab w:val="decimal" w:pos="-1055" w:leader="none"/>
                <w:tab w:val="decimal" w:pos="-772" w:leader="none"/>
                <w:tab w:val="decimal" w:pos="-488" w:leader="none"/>
                <w:tab w:val="decimal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управлению </w:t>
            </w:r>
            <w:r>
              <w:rPr>
                <w:sz w:val="24"/>
                <w:szCs w:val="24"/>
              </w:rPr>
              <w:br w:type="textWrapping" w:clear="all"/>
              <w:t xml:space="preserve">и содержанию имущества учреждения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</w:t>
            </w:r>
            <w:r>
              <w:rPr>
                <w:sz w:val="24"/>
                <w:szCs w:val="24"/>
              </w:rPr>
              <w:br w:type="textWrapping" w:clear="all"/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0,111111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97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Прочие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физической охраны </w:t>
            </w:r>
            <w:r>
              <w:rPr>
                <w:sz w:val="24"/>
                <w:szCs w:val="24"/>
              </w:rPr>
              <w:br w:type="textWrapping" w:clear="all"/>
              <w:t xml:space="preserve">в дневные часы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370,670000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монтаж-демонтаж выставочных </w:t>
            </w:r>
            <w:r>
              <w:rPr>
                <w:sz w:val="24"/>
                <w:szCs w:val="24"/>
              </w:rPr>
              <w:br w:type="textWrapping" w:clear="all"/>
              <w:t xml:space="preserve">экспозиций</w:t>
            </w: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16,390000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информационному </w:t>
            </w:r>
            <w:r>
              <w:rPr>
                <w:sz w:val="24"/>
                <w:szCs w:val="24"/>
              </w:rPr>
              <w:br w:type="textWrapping" w:clear="all"/>
              <w:t xml:space="preserve">обслуживанию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программного обеспечения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информационных услуг КонсультантПлюс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изготовление полиграфической </w:t>
            </w:r>
            <w:r>
              <w:rPr>
                <w:sz w:val="24"/>
                <w:szCs w:val="24"/>
              </w:rPr>
              <w:br w:type="textWrapping" w:clear="all"/>
              <w:t xml:space="preserve">продукции</w:t>
            </w: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звуковое оборудование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кулер для воды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0,111111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лестница трехсекционная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0,111111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тепловая пушка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0,111111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перфоратор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дрель-шуруповерт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</w:t>
            </w: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0,166667</w:t>
            </w:r>
            <w:r>
              <w:rPr>
                <w:sz w:val="24"/>
                <w:szCs w:val="24"/>
              </w:rPr>
            </w:r>
          </w:p>
        </w:tc>
        <w:tc>
          <w:tcPr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0,166667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многофункциональное устройство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офисной техники </w:t>
            </w:r>
            <w:r>
              <w:rPr>
                <w:sz w:val="24"/>
                <w:szCs w:val="24"/>
              </w:rPr>
              <w:br w:type="textWrapping" w:clear="all"/>
              <w:t xml:space="preserve">(формат А4)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3,333300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3,611100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0,055556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8" w:header="363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</w:p>
  <w:p>
    <w:pPr>
      <w:pStyle w:val="7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rPr>
      <w:lang w:eastAsia="ru-RU"/>
    </w:rPr>
  </w:style>
  <w:style w:type="paragraph" w:styleId="720">
    <w:name w:val="Heading 1"/>
    <w:basedOn w:val="719"/>
    <w:next w:val="719"/>
    <w:link w:val="747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48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29"/>
    <w:uiPriority w:val="10"/>
    <w:rPr>
      <w:sz w:val="48"/>
      <w:szCs w:val="48"/>
    </w:rPr>
  </w:style>
  <w:style w:type="character" w:styleId="742" w:customStyle="1">
    <w:name w:val="Subtitle Char"/>
    <w:basedOn w:val="729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Footnote Text Char"/>
    <w:uiPriority w:val="99"/>
    <w:rPr>
      <w:sz w:val="18"/>
    </w:rPr>
  </w:style>
  <w:style w:type="character" w:styleId="746" w:customStyle="1">
    <w:name w:val="Endnote Text Char"/>
    <w:uiPriority w:val="99"/>
    <w:rPr>
      <w:sz w:val="20"/>
    </w:rPr>
  </w:style>
  <w:style w:type="character" w:styleId="747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8">
    <w:name w:val="Title"/>
    <w:basedOn w:val="719"/>
    <w:next w:val="719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rPr>
      <w:sz w:val="48"/>
      <w:szCs w:val="48"/>
    </w:rPr>
  </w:style>
  <w:style w:type="paragraph" w:styleId="760">
    <w:name w:val="Subtitle"/>
    <w:basedOn w:val="719"/>
    <w:next w:val="719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19"/>
    <w:next w:val="719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19"/>
    <w:next w:val="719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19"/>
    <w:link w:val="921"/>
    <w:uiPriority w:val="99"/>
    <w:pPr>
      <w:tabs>
        <w:tab w:val="center" w:pos="4153" w:leader="none"/>
        <w:tab w:val="right" w:pos="8306" w:leader="none"/>
      </w:tabs>
    </w:pPr>
  </w:style>
  <w:style w:type="character" w:styleId="767" w:customStyle="1">
    <w:name w:val="Header Char"/>
    <w:uiPriority w:val="99"/>
  </w:style>
  <w:style w:type="paragraph" w:styleId="768">
    <w:name w:val="Footer"/>
    <w:basedOn w:val="719"/>
    <w:link w:val="997"/>
    <w:pPr>
      <w:tabs>
        <w:tab w:val="center" w:pos="4153" w:leader="none"/>
        <w:tab w:val="right" w:pos="8306" w:leader="none"/>
      </w:tabs>
    </w:pPr>
  </w:style>
  <w:style w:type="character" w:styleId="769" w:customStyle="1">
    <w:name w:val="Footer Char"/>
    <w:uiPriority w:val="99"/>
  </w:style>
  <w:style w:type="paragraph" w:styleId="770">
    <w:name w:val="Caption"/>
    <w:basedOn w:val="719"/>
    <w:next w:val="71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1" w:customStyle="1">
    <w:name w:val="Caption Char"/>
    <w:uiPriority w:val="99"/>
  </w:style>
  <w:style w:type="table" w:styleId="772">
    <w:name w:val="Table Grid"/>
    <w:basedOn w:val="73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/>
      <w:u w:val="single"/>
    </w:rPr>
  </w:style>
  <w:style w:type="paragraph" w:styleId="899">
    <w:name w:val="footnote text"/>
    <w:basedOn w:val="719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19"/>
    <w:link w:val="903"/>
    <w:uiPriority w:val="99"/>
    <w:semiHidden/>
    <w:unhideWhenUsed/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19"/>
    <w:next w:val="719"/>
    <w:uiPriority w:val="39"/>
    <w:unhideWhenUsed/>
    <w:pPr>
      <w:spacing w:after="57"/>
    </w:pPr>
  </w:style>
  <w:style w:type="paragraph" w:styleId="906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907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8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9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10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11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12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13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19"/>
    <w:next w:val="719"/>
    <w:uiPriority w:val="99"/>
    <w:unhideWhenUsed/>
  </w:style>
  <w:style w:type="paragraph" w:styleId="916">
    <w:name w:val="Body Text"/>
    <w:basedOn w:val="719"/>
    <w:link w:val="940"/>
    <w:pPr>
      <w:ind w:right="3117"/>
    </w:pPr>
    <w:rPr>
      <w:rFonts w:ascii="Courier New" w:hAnsi="Courier New"/>
      <w:sz w:val="26"/>
    </w:rPr>
  </w:style>
  <w:style w:type="paragraph" w:styleId="917">
    <w:name w:val="Body Text Indent"/>
    <w:basedOn w:val="719"/>
    <w:pPr>
      <w:ind w:right="-1"/>
      <w:jc w:val="both"/>
    </w:pPr>
    <w:rPr>
      <w:sz w:val="26"/>
    </w:rPr>
  </w:style>
  <w:style w:type="character" w:styleId="918">
    <w:name w:val="page number"/>
    <w:basedOn w:val="729"/>
  </w:style>
  <w:style w:type="paragraph" w:styleId="919">
    <w:name w:val="Balloon Text"/>
    <w:basedOn w:val="719"/>
    <w:link w:val="920"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link w:val="919"/>
    <w:rPr>
      <w:rFonts w:ascii="Segoe UI" w:hAnsi="Segoe UI" w:cs="Segoe UI"/>
      <w:sz w:val="18"/>
      <w:szCs w:val="18"/>
    </w:rPr>
  </w:style>
  <w:style w:type="character" w:styleId="921" w:customStyle="1">
    <w:name w:val="Верхний колонтитул Знак"/>
    <w:link w:val="766"/>
    <w:uiPriority w:val="99"/>
  </w:style>
  <w:style w:type="numbering" w:styleId="922" w:customStyle="1">
    <w:name w:val="Нет списка1"/>
    <w:next w:val="731"/>
    <w:uiPriority w:val="99"/>
    <w:semiHidden/>
    <w:unhideWhenUsed/>
  </w:style>
  <w:style w:type="character" w:styleId="923">
    <w:name w:val="FollowedHyperlink"/>
    <w:uiPriority w:val="99"/>
    <w:unhideWhenUsed/>
    <w:rPr>
      <w:color w:val="800080"/>
      <w:u w:val="single"/>
    </w:rPr>
  </w:style>
  <w:style w:type="paragraph" w:styleId="924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8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Форма"/>
    <w:rPr>
      <w:sz w:val="28"/>
      <w:szCs w:val="28"/>
      <w:lang w:eastAsia="ru-RU"/>
    </w:rPr>
  </w:style>
  <w:style w:type="character" w:styleId="940" w:customStyle="1">
    <w:name w:val="Основной текст Знак"/>
    <w:link w:val="916"/>
    <w:rPr>
      <w:rFonts w:ascii="Courier New" w:hAnsi="Courier New"/>
      <w:sz w:val="26"/>
    </w:rPr>
  </w:style>
  <w:style w:type="paragraph" w:styleId="941" w:customStyle="1">
    <w:name w:val="ConsPlusNormal"/>
    <w:rPr>
      <w:sz w:val="28"/>
      <w:szCs w:val="28"/>
      <w:lang w:eastAsia="ru-RU"/>
    </w:rPr>
  </w:style>
  <w:style w:type="numbering" w:styleId="942" w:customStyle="1">
    <w:name w:val="Нет списка11"/>
    <w:next w:val="731"/>
    <w:uiPriority w:val="99"/>
    <w:semiHidden/>
    <w:unhideWhenUsed/>
  </w:style>
  <w:style w:type="numbering" w:styleId="943" w:customStyle="1">
    <w:name w:val="Нет списка111"/>
    <w:next w:val="731"/>
    <w:uiPriority w:val="99"/>
    <w:semiHidden/>
    <w:unhideWhenUsed/>
  </w:style>
  <w:style w:type="paragraph" w:styleId="944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5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4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8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1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1" w:customStyle="1">
    <w:name w:val="Нет списка2"/>
    <w:next w:val="731"/>
    <w:uiPriority w:val="99"/>
    <w:semiHidden/>
    <w:unhideWhenUsed/>
  </w:style>
  <w:style w:type="numbering" w:styleId="992" w:customStyle="1">
    <w:name w:val="Нет списка3"/>
    <w:next w:val="731"/>
    <w:uiPriority w:val="99"/>
    <w:semiHidden/>
    <w:unhideWhenUsed/>
  </w:style>
  <w:style w:type="paragraph" w:styleId="993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6" w:customStyle="1">
    <w:name w:val="Нет списка4"/>
    <w:next w:val="731"/>
    <w:uiPriority w:val="99"/>
    <w:semiHidden/>
    <w:unhideWhenUsed/>
  </w:style>
  <w:style w:type="character" w:styleId="997" w:customStyle="1">
    <w:name w:val="Нижний колонтитул Знак"/>
    <w:link w:val="768"/>
    <w:uiPriority w:val="99"/>
  </w:style>
  <w:style w:type="numbering" w:styleId="998" w:customStyle="1">
    <w:name w:val="Нет списка5"/>
    <w:next w:val="731"/>
    <w:semiHidden/>
  </w:style>
  <w:style w:type="paragraph" w:styleId="999" w:customStyle="1">
    <w:name w:val="Приложение"/>
    <w:basedOn w:val="91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0" w:customStyle="1">
    <w:name w:val="Подпись на  бланке должностного лица"/>
    <w:basedOn w:val="719"/>
    <w:next w:val="916"/>
    <w:pPr>
      <w:ind w:left="7088"/>
      <w:spacing w:before="480" w:line="240" w:lineRule="exact"/>
    </w:pPr>
    <w:rPr>
      <w:sz w:val="28"/>
    </w:rPr>
  </w:style>
  <w:style w:type="paragraph" w:styleId="1001">
    <w:name w:val="Signature"/>
    <w:basedOn w:val="719"/>
    <w:next w:val="916"/>
    <w:link w:val="100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02" w:customStyle="1">
    <w:name w:val="Подпись Знак"/>
    <w:link w:val="1001"/>
    <w:rPr>
      <w:sz w:val="28"/>
    </w:rPr>
  </w:style>
  <w:style w:type="character" w:styleId="1003">
    <w:name w:val="annotation reference"/>
    <w:rPr>
      <w:sz w:val="16"/>
      <w:szCs w:val="16"/>
    </w:rPr>
  </w:style>
  <w:style w:type="paragraph" w:styleId="1004">
    <w:name w:val="annotation text"/>
    <w:basedOn w:val="719"/>
    <w:link w:val="1005"/>
    <w:pPr>
      <w:ind w:firstLine="720"/>
      <w:jc w:val="both"/>
    </w:pPr>
  </w:style>
  <w:style w:type="character" w:styleId="1005" w:customStyle="1">
    <w:name w:val="Текст примечания Знак"/>
    <w:basedOn w:val="729"/>
    <w:link w:val="1004"/>
  </w:style>
  <w:style w:type="paragraph" w:styleId="1006">
    <w:name w:val="annotation subject"/>
    <w:basedOn w:val="1004"/>
    <w:next w:val="1004"/>
    <w:link w:val="1007"/>
    <w:rPr>
      <w:b/>
      <w:bCs/>
    </w:rPr>
  </w:style>
  <w:style w:type="character" w:styleId="1007" w:customStyle="1">
    <w:name w:val="Тема примечания Знак"/>
    <w:link w:val="1006"/>
    <w:rPr>
      <w:b/>
      <w:bCs/>
    </w:rPr>
  </w:style>
  <w:style w:type="paragraph" w:styleId="1008">
    <w:name w:val="Normal (Web)"/>
    <w:basedOn w:val="719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B458321A75629C72871C3A5F48AFA6D20516F7FEF34EA6A7D2528D543AF64B8B99B117C6364169184A243FM2bAK" TargetMode="External"/><Relationship Id="rId15" Type="http://schemas.openxmlformats.org/officeDocument/2006/relationships/hyperlink" Target="file:///Z:\..\..\..\..\..\..\&#1054;&#1073;%20&#1091;&#1090;&#1074;&#1077;&#1088;&#1078;&#1076;.%20&#1088;&#1072;&#1079;&#1084;&#1077;&#1088;&#1072;%20&#1053;&#1047;%20&#1087;&#1086;%20&#1086;&#1088;&#1075;&#1072;&#1085;&#1080;&#1079;&#1072;&#1094;.%20&#1084;&#1077;&#1088;&#1086;&#1087;&#1088;.%20(&#1085;&#1072;%20&#1087;&#1083;&#1072;&#1090;&#1085;.%20&#1086;&#1089;&#1085;&#1086;&#1074;&#1077;)%2019-21&#1075;&#1075;..doc" TargetMode="External"/><Relationship Id="rId16" Type="http://schemas.openxmlformats.org/officeDocument/2006/relationships/hyperlink" Target="file:///Z:\..\..\..\..\..\..\&#1054;&#1073;%20&#1091;&#1090;&#1074;&#1077;&#1088;&#1078;&#1076;.%20&#1088;&#1072;&#1079;&#1084;&#1077;&#1088;&#1072;%20&#1053;&#1047;%20&#1087;&#1086;%20&#1086;&#1088;&#1075;&#1072;&#1085;&#1080;&#1079;&#1072;&#1094;.%20&#1084;&#1077;&#1088;&#1086;&#1087;&#1088;.%20(&#1085;&#1072;%20&#1087;&#1083;&#1072;&#1090;&#1085;.%20&#1086;&#1089;&#1085;&#1086;&#1074;&#1077;)%2019-21&#1075;&#1075;.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2025-10-07T05:05:00Z</dcterms:created>
  <dcterms:modified xsi:type="dcterms:W3CDTF">2025-10-10T09:33:42Z</dcterms:modified>
  <cp:version>1048576</cp:version>
</cp:coreProperties>
</file>