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46494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46494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highlight w:val="none"/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\</w:t>
                              </w:r>
                              <w:r>
                                <w:rPr>
                                  <w:highlight w:val="none"/>
                                  <w:lang w:val="ru-RU"/>
                                </w:rPr>
                              </w:r>
                              <w:r>
                                <w:rPr>
                                  <w:highlight w:val="none"/>
                                  <w:lang w:val="ru-RU"/>
                                </w:rPr>
                              </w:r>
                            </w:p>
                            <w:p>
                              <w:pPr>
                                <w:pStyle w:val="92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pPr>
                                <w:pStyle w:val="92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highlight w:val="none"/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15.3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highlight w:val="none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\</w:t>
                        </w:r>
                        <w:r>
                          <w:rPr>
                            <w:highlight w:val="none"/>
                            <w:lang w:val="ru-RU"/>
                          </w:rPr>
                        </w:r>
                        <w:r>
                          <w:rPr>
                            <w:highlight w:val="none"/>
                            <w:lang w:val="ru-RU"/>
                          </w:rPr>
                        </w:r>
                      </w:p>
                      <w:p>
                        <w:pPr>
                          <w:pStyle w:val="92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pPr>
                          <w:pStyle w:val="92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ru-RU"/>
                          </w:rPr>
                        </w:pPr>
                        <w:r>
                          <w:rPr>
                            <w:highlight w:val="none"/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pPr>
                          <w:pStyle w:val="92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1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526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 внесении изменений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5526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</w:t>
      </w:r>
      <w:r>
        <w:rPr>
          <w:b/>
          <w:sz w:val="28"/>
          <w:szCs w:val="28"/>
          <w:highlight w:val="none"/>
        </w:rPr>
        <w:t xml:space="preserve">постановление </w:t>
      </w:r>
      <w:r>
        <w:rPr>
          <w:b/>
          <w:sz w:val="28"/>
          <w:szCs w:val="28"/>
          <w:highlight w:val="none"/>
        </w:rPr>
        <w:t xml:space="preserve">администрации города Перми </w:t>
      </w:r>
      <w:r>
        <w:rPr>
          <w:b/>
          <w:sz w:val="28"/>
          <w:szCs w:val="28"/>
          <w:highlight w:val="none"/>
        </w:rPr>
        <w:t xml:space="preserve">от 30.08.2024 № 711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5385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</w:t>
      </w:r>
      <w:r>
        <w:rPr>
          <w:b/>
          <w:sz w:val="28"/>
          <w:szCs w:val="28"/>
        </w:rPr>
        <w:t xml:space="preserve">етодик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расчета нормативных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5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выполнение муниципальн</w:t>
      </w:r>
      <w:r>
        <w:rPr>
          <w:b/>
          <w:sz w:val="28"/>
          <w:szCs w:val="28"/>
        </w:rPr>
        <w:t xml:space="preserve">ой </w:t>
      </w:r>
      <w:r>
        <w:rPr>
          <w:b/>
          <w:sz w:val="28"/>
          <w:szCs w:val="28"/>
        </w:rPr>
        <w:t xml:space="preserve">услуги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«Оказание услуг, предусмотренных гарантированным перечнем услуг по погребению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услуг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5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по погребению </w:t>
      </w:r>
      <w:r>
        <w:rPr>
          <w:b/>
          <w:sz w:val="28"/>
          <w:szCs w:val="28"/>
        </w:rPr>
        <w:t xml:space="preserve">погибших (умерших)</w:t>
      </w:r>
      <w:r>
        <w:rPr>
          <w:b/>
          <w:sz w:val="28"/>
          <w:szCs w:val="28"/>
        </w:rPr>
        <w:t xml:space="preserve">, не имеющих супруга, близких родственников, иных родственников </w:t>
      </w:r>
      <w:r>
        <w:rPr>
          <w:b/>
          <w:sz w:val="28"/>
          <w:szCs w:val="28"/>
        </w:rPr>
        <w:t xml:space="preserve">либо законного представителя умершего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в городе Перми»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нормативных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4"/>
        <w:ind w:left="0" w:right="5526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на содержание 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униципального имущества, уплату налогов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"consultantplus://offline/ref=7AB9D403C77A2E863F43769B516C6427D840B318A5F160FF0A213F7F0725CA4887251D37BEAA71864E3D9538B9BD218F4FB371EA77F5BA74h5A3E"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1996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8-ФЗ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погребении </w:t>
        <w:br/>
        <w:t xml:space="preserve">и похоро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ном деле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приказом Министерства строительства </w:t>
        <w:br/>
        <w:t xml:space="preserve">и жилищно-коммунального хозяйства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от 28 ноября 2017 г. № 1596/пр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Общих требований к определ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нормативных затрат на оказание государственных (муниципал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ных) услуг </w:t>
      </w:r>
      <w:r>
        <w:rPr>
          <w:sz w:val="28"/>
          <w:szCs w:val="28"/>
        </w:rPr>
        <w:t xml:space="preserve">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</w:t>
        <w:br/>
        <w:t xml:space="preserve">на финансовое обеспечение выполнения государственного (муниц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пального) задания на оказание государственных (муниципальных) услуг (выпо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работ) государственным (муниципальным) учреждением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 Перми, </w:t>
      </w:r>
      <w:r>
        <w:rPr>
          <w:sz w:val="28"/>
          <w:szCs w:val="28"/>
        </w:rPr>
        <w:t xml:space="preserve">решением Пермской городской Думы от 28 августа 2007 г. № 185 </w:t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 бюджете и бюджетном процессе в городе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постановлением администрации города Перми от 30 ноября 2007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502 </w:t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рядке формирования, размещения, финансового обеспечения и контроля 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нения муниципального задания на оказание муниципальных у</w:t>
      </w:r>
      <w:r>
        <w:rPr>
          <w:sz w:val="28"/>
          <w:szCs w:val="28"/>
        </w:rPr>
        <w:t xml:space="preserve">слуг (выпо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работ)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постановление администрации города Перми </w:t>
      </w:r>
      <w:r>
        <w:rPr>
          <w:sz w:val="28"/>
          <w:szCs w:val="28"/>
        </w:rPr>
        <w:t xml:space="preserve">от 30 августа </w:t>
        <w:br/>
        <w:t xml:space="preserve">2024 г. № 711 «Об утверждении Методики</w:t>
      </w:r>
      <w:r>
        <w:rPr>
          <w:sz w:val="28"/>
          <w:szCs w:val="28"/>
        </w:rPr>
        <w:t xml:space="preserve"> расчета нормативных затрат </w:t>
        <w:br/>
        <w:t xml:space="preserve">на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полнение муниципально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Оказание услуг, предусмотренных гарантир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ванным перечнем услуг по погребению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услуг по погребению </w:t>
      </w:r>
      <w:r>
        <w:rPr>
          <w:sz w:val="28"/>
          <w:szCs w:val="28"/>
        </w:rPr>
        <w:t xml:space="preserve">погибших (уме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ших)</w:t>
      </w:r>
      <w:r>
        <w:rPr>
          <w:sz w:val="28"/>
          <w:szCs w:val="28"/>
        </w:rPr>
        <w:t xml:space="preserve">, не имеющих супруга, близких родственников, иных родственников либо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конного представителя умершего,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  <w:br/>
        <w:t xml:space="preserve">и нормативных затрат на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держание муниципального имущества, уплату налогов»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1.1.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«Об утверждении Методики</w:t>
      </w:r>
      <w:r>
        <w:rPr>
          <w:sz w:val="28"/>
          <w:szCs w:val="28"/>
        </w:rPr>
        <w:t xml:space="preserve"> расчета нормативных затрат на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полнение муниципально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Оказание услуг, предусмотренных гарантир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ванным перечнем услуг по погребению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услуг по погребению </w:t>
      </w:r>
      <w:r>
        <w:rPr>
          <w:sz w:val="28"/>
          <w:szCs w:val="28"/>
        </w:rPr>
        <w:t xml:space="preserve">погибших (уме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ших)</w:t>
      </w:r>
      <w:r>
        <w:rPr>
          <w:sz w:val="28"/>
          <w:szCs w:val="28"/>
        </w:rPr>
        <w:t xml:space="preserve">, </w:t>
        <w:br/>
        <w:t xml:space="preserve">не имеющих супруга, близких родственников, иных родственников </w:t>
        <w:br/>
        <w:t xml:space="preserve">либо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конного представителя умершего,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нормативных затрат на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держание муниципального имущества»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20"/>
        <w:jc w:val="both"/>
        <w:rPr>
          <w:highlight w:val="none"/>
        </w:rPr>
      </w:pPr>
      <w:r>
        <w:rPr>
          <w:highlight w:val="none"/>
        </w:rPr>
        <w:t xml:space="preserve">1.2. пункт 1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firstLine="720"/>
        <w:jc w:val="both"/>
        <w:rPr>
          <w:highlight w:val="none"/>
        </w:rPr>
      </w:pPr>
      <w:r>
        <w:rPr>
          <w:highlight w:val="none"/>
        </w:rPr>
        <w:t xml:space="preserve">«1. Утвердить прилагаемую Методику расчета нормативных затрат </w:t>
        <w:br/>
        <w:t xml:space="preserve">на выполнение муниципальной услуги «Оказание услуг, предусмотренных гарантиров</w:t>
      </w:r>
      <w:r>
        <w:rPr>
          <w:highlight w:val="none"/>
        </w:rPr>
        <w:t xml:space="preserve">а</w:t>
      </w:r>
      <w:r>
        <w:rPr>
          <w:highlight w:val="none"/>
        </w:rPr>
        <w:t xml:space="preserve">нным перечнем услуг по погребению, и услуг по погребению погибших (умерших), не имеющих супруга, близких родственников, иных родственников либо законного представителя умершего, в городе Перми» </w:t>
        <w:br/>
        <w:t xml:space="preserve">и нормативных затрат на содержание муниципального имущества».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firstLine="720"/>
        <w:jc w:val="both"/>
        <w:rPr>
          <w:highlight w:val="none"/>
        </w:rPr>
      </w:pPr>
      <w:r>
        <w:rPr>
          <w:highlight w:val="none"/>
        </w:rPr>
        <w:t xml:space="preserve">2. Внести в Методику расчета нормативных затрат на выполнение муниципальной услуги «Оказание услуг, предусмотренных гарантированным перечнем услуг по погребению, и</w:t>
      </w:r>
      <w:r>
        <w:rPr>
          <w:highlight w:val="none"/>
        </w:rPr>
        <w:t xml:space="preserve"> услуг по погребению погибших (умерших), </w:t>
        <w:br/>
        <w:t xml:space="preserve">не имеющих супруга, близких родственников, иных родственников </w:t>
        <w:br/>
        <w:t xml:space="preserve">либо законного представителя умершего, в городе Перми» и нормативных затрат на содержание муниципального имущества, уплату н</w:t>
      </w:r>
      <w:r>
        <w:rPr>
          <w:highlight w:val="none"/>
        </w:rPr>
        <w:t xml:space="preserve">ало</w:t>
      </w:r>
      <w:r>
        <w:rPr>
          <w:highlight w:val="none"/>
        </w:rPr>
        <w:t xml:space="preserve">гов», утвержденную постановлением администрации города Перми от 30 августа 2024 г. № 711</w:t>
      </w:r>
      <w:r>
        <w:rPr>
          <w:highlight w:val="none"/>
        </w:rPr>
        <w:t xml:space="preserve">,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firstLine="720"/>
        <w:jc w:val="both"/>
        <w:rPr>
          <w:highlight w:val="none"/>
        </w:rPr>
      </w:pPr>
      <w:r>
        <w:rPr>
          <w:highlight w:val="none"/>
        </w:rPr>
        <w:t xml:space="preserve">2.1. наименование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firstLine="720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Методика расчета нормативных затрат на выполнение муниципальной услуги «Оказание услуг, предусмотренных гарантированным перечнем услуг </w:t>
        <w:br/>
        <w:t xml:space="preserve">по погребению, и</w:t>
      </w:r>
      <w:r>
        <w:rPr>
          <w:highlight w:val="none"/>
        </w:rPr>
        <w:t xml:space="preserve"> услуг по погребению погибших (умерших), не имеющих супруга, близких родственников, иных родственников либо законного представителя умершего, в городе Перми» и нормативных затрат на содержание муниципального имущества»;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firstLine="720"/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  <w:t xml:space="preserve">2.2. в абзаце первом пункта 1.3 слова «, уплату налогов»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в пункте 3.2: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2.3.1. абзац второй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20"/>
        <w:jc w:val="center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«R = N x V</w:t>
      </w:r>
      <w:r>
        <w:rPr>
          <w:sz w:val="28"/>
          <w:szCs w:val="28"/>
          <w:highlight w:val="none"/>
          <w:vertAlign w:val="subscript"/>
        </w:rPr>
        <w:t xml:space="preserve">i</w:t>
      </w:r>
      <w:r>
        <w:rPr>
          <w:sz w:val="28"/>
          <w:szCs w:val="28"/>
          <w:highlight w:val="none"/>
          <w:vertAlign w:val="baseline"/>
        </w:rPr>
        <w:t xml:space="preserve"> – D</w:t>
      </w:r>
      <w:r>
        <w:rPr>
          <w:sz w:val="28"/>
          <w:szCs w:val="28"/>
          <w:highlight w:val="none"/>
          <w:vertAlign w:val="subscript"/>
        </w:rPr>
        <w:t xml:space="preserve">возм </w:t>
      </w:r>
      <w:r>
        <w:rPr>
          <w:sz w:val="28"/>
          <w:szCs w:val="28"/>
          <w:highlight w:val="none"/>
          <w:vertAlign w:val="baseline"/>
        </w:rPr>
        <w:t xml:space="preserve">+ N</w:t>
      </w:r>
      <w:r>
        <w:rPr>
          <w:sz w:val="28"/>
          <w:szCs w:val="28"/>
          <w:highlight w:val="none"/>
          <w:vertAlign w:val="superscript"/>
        </w:rPr>
        <w:t xml:space="preserve">си </w:t>
      </w:r>
      <w:r>
        <w:rPr>
          <w:sz w:val="28"/>
          <w:szCs w:val="28"/>
          <w:highlight w:val="none"/>
          <w:vertAlign w:val="baseline"/>
        </w:rPr>
        <w:t xml:space="preserve">, где»;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950"/>
        <w:ind w:firstLine="720"/>
        <w:jc w:val="left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2.3.2. абзац шестой признать утратившим силу;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950"/>
        <w:ind w:firstLine="720"/>
        <w:jc w:val="left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2.4. абзац второй пункта 3.6 признать утратившим силу;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950"/>
        <w:ind w:firstLine="720"/>
        <w:jc w:val="left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2.5. наименование раздела 5 изложить в следующей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950"/>
        <w:ind w:firstLine="72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V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.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 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Порядок расчета затрат на содержание муниципального имущества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950"/>
        <w:ind w:firstLine="720"/>
        <w:jc w:val="left"/>
        <w:rPr>
          <w:highlight w:val="no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2.6. пункт 5.2 признать утратившим силу.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и применяется к правоотношениям, возникающим при формировании проекта бюджета</w:t>
      </w:r>
      <w:r>
        <w:rPr>
          <w:sz w:val="28"/>
          <w:szCs w:val="28"/>
        </w:rPr>
        <w:t xml:space="preserve"> города Перми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</w:t>
      </w:r>
      <w:r>
        <w:rPr>
          <w:sz w:val="28"/>
          <w:szCs w:val="28"/>
        </w:rPr>
        <w:t xml:space="preserve">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Галихан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 Д.К.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spacing w:line="240" w:lineRule="exact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rPr>
      <w:lang w:val="ru-RU" w:eastAsia="ru-RU" w:bidi="ar-SA"/>
    </w:rPr>
  </w:style>
  <w:style w:type="paragraph" w:styleId="915">
    <w:name w:val="Заголовок 1"/>
    <w:basedOn w:val="914"/>
    <w:next w:val="914"/>
    <w:link w:val="1015"/>
    <w:qFormat/>
    <w:pPr>
      <w:ind w:right="-1" w:firstLine="709"/>
      <w:jc w:val="both"/>
      <w:keepNext/>
      <w:outlineLvl w:val="0"/>
    </w:pPr>
    <w:rPr>
      <w:sz w:val="24"/>
    </w:rPr>
  </w:style>
  <w:style w:type="paragraph" w:styleId="916">
    <w:name w:val="Заголовок 2"/>
    <w:basedOn w:val="914"/>
    <w:next w:val="914"/>
    <w:link w:val="1016"/>
    <w:qFormat/>
    <w:pPr>
      <w:ind w:right="-1"/>
      <w:jc w:val="both"/>
      <w:keepNext/>
      <w:outlineLvl w:val="1"/>
    </w:pPr>
    <w:rPr>
      <w:sz w:val="24"/>
    </w:rPr>
  </w:style>
  <w:style w:type="character" w:styleId="917">
    <w:name w:val="Основной шрифт абзаца"/>
    <w:next w:val="917"/>
    <w:link w:val="914"/>
    <w:semiHidden/>
  </w:style>
  <w:style w:type="table" w:styleId="918">
    <w:name w:val="Обычная таблица"/>
    <w:next w:val="918"/>
    <w:link w:val="914"/>
    <w:semiHidden/>
    <w:tblPr/>
  </w:style>
  <w:style w:type="numbering" w:styleId="919">
    <w:name w:val="Нет списка"/>
    <w:next w:val="919"/>
    <w:link w:val="914"/>
    <w:semiHidden/>
  </w:style>
  <w:style w:type="paragraph" w:styleId="920">
    <w:name w:val="Название объекта"/>
    <w:basedOn w:val="914"/>
    <w:next w:val="914"/>
    <w:link w:val="91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1">
    <w:name w:val="Основной текст"/>
    <w:basedOn w:val="914"/>
    <w:next w:val="921"/>
    <w:link w:val="949"/>
    <w:pPr>
      <w:ind w:right="3117"/>
    </w:pPr>
    <w:rPr>
      <w:rFonts w:ascii="Courier New" w:hAnsi="Courier New"/>
      <w:sz w:val="26"/>
      <w:lang w:val="en-US" w:eastAsia="en-US"/>
    </w:rPr>
  </w:style>
  <w:style w:type="paragraph" w:styleId="922">
    <w:name w:val="Основной текст с отступом"/>
    <w:basedOn w:val="914"/>
    <w:next w:val="922"/>
    <w:link w:val="1017"/>
    <w:pPr>
      <w:ind w:right="-1"/>
      <w:jc w:val="both"/>
    </w:pPr>
    <w:rPr>
      <w:sz w:val="26"/>
    </w:rPr>
  </w:style>
  <w:style w:type="paragraph" w:styleId="923">
    <w:name w:val="Нижний колонтитул"/>
    <w:basedOn w:val="914"/>
    <w:next w:val="923"/>
    <w:link w:val="1008"/>
    <w:uiPriority w:val="99"/>
    <w:pPr>
      <w:tabs>
        <w:tab w:val="center" w:pos="4153" w:leader="none"/>
        <w:tab w:val="right" w:pos="8306" w:leader="none"/>
      </w:tabs>
    </w:pPr>
  </w:style>
  <w:style w:type="character" w:styleId="924">
    <w:name w:val="Номер страницы"/>
    <w:basedOn w:val="917"/>
    <w:next w:val="924"/>
    <w:link w:val="914"/>
  </w:style>
  <w:style w:type="paragraph" w:styleId="925">
    <w:name w:val="Верхний колонтитул"/>
    <w:basedOn w:val="914"/>
    <w:next w:val="925"/>
    <w:link w:val="928"/>
    <w:uiPriority w:val="99"/>
    <w:pPr>
      <w:tabs>
        <w:tab w:val="center" w:pos="4153" w:leader="none"/>
        <w:tab w:val="right" w:pos="8306" w:leader="none"/>
      </w:tabs>
    </w:pPr>
  </w:style>
  <w:style w:type="paragraph" w:styleId="926">
    <w:name w:val="Текст выноски"/>
    <w:basedOn w:val="914"/>
    <w:next w:val="926"/>
    <w:link w:val="927"/>
    <w:uiPriority w:val="99"/>
    <w:rPr>
      <w:rFonts w:ascii="Segoe UI" w:hAnsi="Segoe UI"/>
      <w:sz w:val="18"/>
      <w:szCs w:val="18"/>
      <w:lang w:val="en-US" w:eastAsia="en-US"/>
    </w:rPr>
  </w:style>
  <w:style w:type="character" w:styleId="927">
    <w:name w:val="Текст выноски Знак"/>
    <w:next w:val="927"/>
    <w:link w:val="926"/>
    <w:uiPriority w:val="99"/>
    <w:rPr>
      <w:rFonts w:ascii="Segoe UI" w:hAnsi="Segoe UI" w:cs="Segoe UI"/>
      <w:sz w:val="18"/>
      <w:szCs w:val="18"/>
    </w:rPr>
  </w:style>
  <w:style w:type="character" w:styleId="928">
    <w:name w:val="Верхний колонтитул Знак"/>
    <w:next w:val="928"/>
    <w:link w:val="925"/>
    <w:uiPriority w:val="99"/>
  </w:style>
  <w:style w:type="numbering" w:styleId="929">
    <w:name w:val="Нет списка1"/>
    <w:next w:val="919"/>
    <w:link w:val="914"/>
    <w:uiPriority w:val="99"/>
    <w:semiHidden/>
    <w:unhideWhenUsed/>
  </w:style>
  <w:style w:type="paragraph" w:styleId="930">
    <w:name w:val="Без интервала"/>
    <w:next w:val="930"/>
    <w:link w:val="91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1">
    <w:name w:val="Гиперссылка"/>
    <w:next w:val="931"/>
    <w:link w:val="914"/>
    <w:uiPriority w:val="99"/>
    <w:unhideWhenUsed/>
    <w:rPr>
      <w:color w:val="0000ff"/>
      <w:u w:val="single"/>
    </w:rPr>
  </w:style>
  <w:style w:type="character" w:styleId="932">
    <w:name w:val="Просмотренная гиперссылка"/>
    <w:next w:val="932"/>
    <w:link w:val="914"/>
    <w:uiPriority w:val="99"/>
    <w:unhideWhenUsed/>
    <w:rPr>
      <w:color w:val="800080"/>
      <w:u w:val="single"/>
    </w:rPr>
  </w:style>
  <w:style w:type="paragraph" w:styleId="933">
    <w:name w:val="xl65"/>
    <w:basedOn w:val="914"/>
    <w:next w:val="933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66"/>
    <w:basedOn w:val="914"/>
    <w:next w:val="934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67"/>
    <w:basedOn w:val="914"/>
    <w:next w:val="935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>
    <w:name w:val="xl68"/>
    <w:basedOn w:val="914"/>
    <w:next w:val="936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>
    <w:name w:val="xl69"/>
    <w:basedOn w:val="914"/>
    <w:next w:val="937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70"/>
    <w:basedOn w:val="914"/>
    <w:next w:val="938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>
    <w:name w:val="xl71"/>
    <w:basedOn w:val="914"/>
    <w:next w:val="939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72"/>
    <w:basedOn w:val="914"/>
    <w:next w:val="940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xl73"/>
    <w:basedOn w:val="914"/>
    <w:next w:val="941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>
    <w:name w:val="xl74"/>
    <w:basedOn w:val="914"/>
    <w:next w:val="942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>
    <w:name w:val="xl75"/>
    <w:basedOn w:val="914"/>
    <w:next w:val="943"/>
    <w:link w:val="9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6"/>
    <w:basedOn w:val="914"/>
    <w:next w:val="944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>
    <w:name w:val="xl77"/>
    <w:basedOn w:val="914"/>
    <w:next w:val="945"/>
    <w:link w:val="91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>
    <w:name w:val="xl78"/>
    <w:basedOn w:val="914"/>
    <w:next w:val="946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>
    <w:name w:val="xl79"/>
    <w:basedOn w:val="914"/>
    <w:next w:val="947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Форма"/>
    <w:next w:val="948"/>
    <w:link w:val="914"/>
    <w:rPr>
      <w:sz w:val="28"/>
      <w:szCs w:val="28"/>
      <w:lang w:val="ru-RU" w:eastAsia="ru-RU" w:bidi="ar-SA"/>
    </w:rPr>
  </w:style>
  <w:style w:type="character" w:styleId="949">
    <w:name w:val="Основной текст Знак"/>
    <w:next w:val="949"/>
    <w:link w:val="921"/>
    <w:rPr>
      <w:rFonts w:ascii="Courier New" w:hAnsi="Courier New"/>
      <w:sz w:val="26"/>
    </w:rPr>
  </w:style>
  <w:style w:type="paragraph" w:styleId="950">
    <w:name w:val="ConsPlusNormal"/>
    <w:next w:val="950"/>
    <w:link w:val="914"/>
    <w:rPr>
      <w:sz w:val="28"/>
      <w:szCs w:val="28"/>
      <w:lang w:val="ru-RU" w:eastAsia="ru-RU" w:bidi="ar-SA"/>
    </w:rPr>
  </w:style>
  <w:style w:type="numbering" w:styleId="951">
    <w:name w:val="Нет списка11"/>
    <w:next w:val="919"/>
    <w:link w:val="914"/>
    <w:uiPriority w:val="99"/>
    <w:semiHidden/>
    <w:unhideWhenUsed/>
  </w:style>
  <w:style w:type="numbering" w:styleId="952">
    <w:name w:val="Нет списка111"/>
    <w:next w:val="919"/>
    <w:link w:val="914"/>
    <w:uiPriority w:val="99"/>
    <w:semiHidden/>
    <w:unhideWhenUsed/>
  </w:style>
  <w:style w:type="paragraph" w:styleId="953">
    <w:name w:val="font5"/>
    <w:basedOn w:val="914"/>
    <w:next w:val="953"/>
    <w:link w:val="9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4">
    <w:name w:val="xl80"/>
    <w:basedOn w:val="914"/>
    <w:next w:val="954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5">
    <w:name w:val="xl81"/>
    <w:basedOn w:val="914"/>
    <w:next w:val="955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6">
    <w:name w:val="xl82"/>
    <w:basedOn w:val="914"/>
    <w:next w:val="956"/>
    <w:link w:val="91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7">
    <w:name w:val="Сетка таблицы"/>
    <w:basedOn w:val="918"/>
    <w:next w:val="957"/>
    <w:link w:val="91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8">
    <w:name w:val="xl83"/>
    <w:basedOn w:val="914"/>
    <w:next w:val="958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84"/>
    <w:basedOn w:val="914"/>
    <w:next w:val="959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85"/>
    <w:basedOn w:val="914"/>
    <w:next w:val="96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>
    <w:name w:val="xl86"/>
    <w:basedOn w:val="914"/>
    <w:next w:val="961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>
    <w:name w:val="xl87"/>
    <w:basedOn w:val="914"/>
    <w:next w:val="962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>
    <w:name w:val="xl88"/>
    <w:basedOn w:val="914"/>
    <w:next w:val="963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>
    <w:name w:val="xl89"/>
    <w:basedOn w:val="914"/>
    <w:next w:val="964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90"/>
    <w:basedOn w:val="914"/>
    <w:next w:val="965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91"/>
    <w:basedOn w:val="914"/>
    <w:next w:val="966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92"/>
    <w:basedOn w:val="914"/>
    <w:next w:val="967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>
    <w:name w:val="xl93"/>
    <w:basedOn w:val="914"/>
    <w:next w:val="968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>
    <w:name w:val="xl94"/>
    <w:basedOn w:val="914"/>
    <w:next w:val="969"/>
    <w:link w:val="91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95"/>
    <w:basedOn w:val="914"/>
    <w:next w:val="97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6"/>
    <w:basedOn w:val="914"/>
    <w:next w:val="971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>
    <w:name w:val="xl97"/>
    <w:basedOn w:val="914"/>
    <w:next w:val="972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>
    <w:name w:val="xl98"/>
    <w:basedOn w:val="914"/>
    <w:next w:val="973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4">
    <w:name w:val="xl99"/>
    <w:basedOn w:val="914"/>
    <w:next w:val="974"/>
    <w:link w:val="91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>
    <w:name w:val="xl100"/>
    <w:basedOn w:val="914"/>
    <w:next w:val="975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1"/>
    <w:basedOn w:val="914"/>
    <w:next w:val="976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2"/>
    <w:basedOn w:val="914"/>
    <w:next w:val="977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03"/>
    <w:basedOn w:val="914"/>
    <w:next w:val="978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04"/>
    <w:basedOn w:val="914"/>
    <w:next w:val="979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5"/>
    <w:basedOn w:val="914"/>
    <w:next w:val="98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6"/>
    <w:basedOn w:val="914"/>
    <w:next w:val="981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2">
    <w:name w:val="xl107"/>
    <w:basedOn w:val="914"/>
    <w:next w:val="982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8"/>
    <w:basedOn w:val="914"/>
    <w:next w:val="983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9"/>
    <w:basedOn w:val="914"/>
    <w:next w:val="984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0"/>
    <w:basedOn w:val="914"/>
    <w:next w:val="985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1"/>
    <w:basedOn w:val="914"/>
    <w:next w:val="986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2"/>
    <w:basedOn w:val="914"/>
    <w:next w:val="987"/>
    <w:link w:val="91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8">
    <w:name w:val="xl113"/>
    <w:basedOn w:val="914"/>
    <w:next w:val="988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4"/>
    <w:basedOn w:val="914"/>
    <w:next w:val="989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5"/>
    <w:basedOn w:val="914"/>
    <w:next w:val="990"/>
    <w:link w:val="91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1">
    <w:name w:val="xl116"/>
    <w:basedOn w:val="914"/>
    <w:next w:val="991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17"/>
    <w:basedOn w:val="914"/>
    <w:next w:val="992"/>
    <w:link w:val="91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8"/>
    <w:basedOn w:val="914"/>
    <w:next w:val="993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9"/>
    <w:basedOn w:val="914"/>
    <w:next w:val="994"/>
    <w:link w:val="9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>
    <w:name w:val="xl120"/>
    <w:basedOn w:val="914"/>
    <w:next w:val="995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>
    <w:name w:val="xl121"/>
    <w:basedOn w:val="914"/>
    <w:next w:val="996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>
    <w:name w:val="xl122"/>
    <w:basedOn w:val="914"/>
    <w:next w:val="997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23"/>
    <w:basedOn w:val="914"/>
    <w:next w:val="998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>
    <w:name w:val="xl124"/>
    <w:basedOn w:val="914"/>
    <w:next w:val="999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>
    <w:name w:val="xl125"/>
    <w:basedOn w:val="914"/>
    <w:next w:val="100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1">
    <w:name w:val="Нет списка2"/>
    <w:next w:val="919"/>
    <w:link w:val="914"/>
    <w:uiPriority w:val="99"/>
    <w:semiHidden/>
    <w:unhideWhenUsed/>
  </w:style>
  <w:style w:type="numbering" w:styleId="1002">
    <w:name w:val="Нет списка3"/>
    <w:next w:val="919"/>
    <w:link w:val="914"/>
    <w:uiPriority w:val="99"/>
    <w:semiHidden/>
    <w:unhideWhenUsed/>
  </w:style>
  <w:style w:type="paragraph" w:styleId="1003">
    <w:name w:val="font6"/>
    <w:basedOn w:val="914"/>
    <w:next w:val="1003"/>
    <w:link w:val="9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>
    <w:name w:val="font7"/>
    <w:basedOn w:val="914"/>
    <w:next w:val="1004"/>
    <w:link w:val="9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5">
    <w:name w:val="font8"/>
    <w:basedOn w:val="914"/>
    <w:next w:val="1005"/>
    <w:link w:val="9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6">
    <w:name w:val="Нет списка4"/>
    <w:next w:val="919"/>
    <w:link w:val="914"/>
    <w:uiPriority w:val="99"/>
    <w:semiHidden/>
    <w:unhideWhenUsed/>
  </w:style>
  <w:style w:type="paragraph" w:styleId="1007">
    <w:name w:val="Абзац списка"/>
    <w:basedOn w:val="914"/>
    <w:next w:val="1007"/>
    <w:link w:val="9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8">
    <w:name w:val="Нижний колонтитул Знак"/>
    <w:next w:val="1008"/>
    <w:link w:val="923"/>
    <w:uiPriority w:val="99"/>
  </w:style>
  <w:style w:type="character" w:styleId="1009">
    <w:name w:val="Знак примечания"/>
    <w:next w:val="1009"/>
    <w:link w:val="914"/>
    <w:rPr>
      <w:sz w:val="16"/>
      <w:szCs w:val="16"/>
    </w:rPr>
  </w:style>
  <w:style w:type="paragraph" w:styleId="1010">
    <w:name w:val="Текст примечания"/>
    <w:basedOn w:val="914"/>
    <w:next w:val="1010"/>
    <w:link w:val="1011"/>
  </w:style>
  <w:style w:type="character" w:styleId="1011">
    <w:name w:val="Текст примечания Знак"/>
    <w:basedOn w:val="917"/>
    <w:next w:val="1011"/>
    <w:link w:val="1010"/>
  </w:style>
  <w:style w:type="paragraph" w:styleId="1012">
    <w:name w:val="Тема примечания"/>
    <w:basedOn w:val="1010"/>
    <w:next w:val="1010"/>
    <w:link w:val="1013"/>
    <w:rPr>
      <w:b/>
      <w:bCs/>
      <w:lang w:val="en-US" w:eastAsia="en-US"/>
    </w:rPr>
  </w:style>
  <w:style w:type="character" w:styleId="1013">
    <w:name w:val="Тема примечания Знак"/>
    <w:next w:val="1013"/>
    <w:link w:val="1012"/>
    <w:rPr>
      <w:b/>
      <w:bCs/>
    </w:rPr>
  </w:style>
  <w:style w:type="paragraph" w:styleId="1014">
    <w:name w:val="Рецензия"/>
    <w:next w:val="1014"/>
    <w:link w:val="914"/>
    <w:hidden/>
    <w:uiPriority w:val="99"/>
    <w:semiHidden/>
    <w:rPr>
      <w:lang w:val="ru-RU" w:eastAsia="ru-RU" w:bidi="ar-SA"/>
    </w:rPr>
  </w:style>
  <w:style w:type="character" w:styleId="1015">
    <w:name w:val="Заголовок 1 Знак"/>
    <w:next w:val="1015"/>
    <w:link w:val="915"/>
    <w:rPr>
      <w:sz w:val="24"/>
    </w:rPr>
  </w:style>
  <w:style w:type="character" w:styleId="1016">
    <w:name w:val="Заголовок 2 Знак"/>
    <w:next w:val="1016"/>
    <w:link w:val="916"/>
    <w:rPr>
      <w:sz w:val="24"/>
    </w:rPr>
  </w:style>
  <w:style w:type="character" w:styleId="1017">
    <w:name w:val="Основной текст с отступом Знак"/>
    <w:next w:val="1017"/>
    <w:link w:val="922"/>
    <w:rPr>
      <w:sz w:val="26"/>
    </w:rPr>
  </w:style>
  <w:style w:type="character" w:styleId="1018" w:default="1">
    <w:name w:val="Default Paragraph Font"/>
    <w:uiPriority w:val="1"/>
    <w:semiHidden/>
    <w:unhideWhenUsed/>
  </w:style>
  <w:style w:type="numbering" w:styleId="1019" w:default="1">
    <w:name w:val="No List"/>
    <w:uiPriority w:val="99"/>
    <w:semiHidden/>
    <w:unhideWhenUsed/>
  </w:style>
  <w:style w:type="table" w:styleId="10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35</cp:revision>
  <dcterms:created xsi:type="dcterms:W3CDTF">2024-08-14T14:28:00Z</dcterms:created>
  <dcterms:modified xsi:type="dcterms:W3CDTF">2025-10-17T10:32:12Z</dcterms:modified>
  <cp:version>917504</cp:version>
</cp:coreProperties>
</file>