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8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8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811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7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8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811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93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right="5387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right="5387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938"/>
        <w:ind w:right="5387"/>
        <w:spacing w:line="240" w:lineRule="exact"/>
      </w:pPr>
      <w:r/>
      <w:r/>
    </w:p>
    <w:p>
      <w:pPr>
        <w:pStyle w:val="938"/>
        <w:ind w:right="5387"/>
        <w:spacing w:line="240" w:lineRule="exact"/>
      </w:pPr>
      <w:r/>
      <w:r/>
    </w:p>
    <w:p>
      <w:pPr>
        <w:pStyle w:val="938"/>
        <w:ind w:right="5387"/>
        <w:spacing w:line="240" w:lineRule="exact"/>
      </w:pPr>
      <w:r/>
      <w:r/>
    </w:p>
    <w:p>
      <w:pPr>
        <w:pStyle w:val="938"/>
        <w:ind w:right="5387"/>
        <w:spacing w:line="240" w:lineRule="exact"/>
      </w:pPr>
      <w:r/>
      <w:r/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в постановление администрации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города Перми от 20.02.2021 № 101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«Об утверждении Порядка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определения объема и условий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предоставления субсидий на иные цели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бюджетным и автономным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учреждениям, подведомственным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департаменту культуры и молодежной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политики администрации города Перми,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на мероприятия, направленные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на решение отдельных вопросов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местного значения в микрорайонах </w:t>
      </w:r>
      <w:r>
        <w:rPr>
          <w:b/>
        </w:rPr>
      </w:r>
    </w:p>
    <w:p>
      <w:pPr>
        <w:pStyle w:val="938"/>
        <w:spacing w:line="240" w:lineRule="exact"/>
        <w:tabs>
          <w:tab w:val="left" w:pos="0" w:leader="none"/>
          <w:tab w:val="left" w:pos="2552" w:leader="none"/>
        </w:tabs>
        <w:rPr>
          <w:b/>
        </w:rPr>
      </w:pPr>
      <w:r>
        <w:rPr>
          <w:b/>
        </w:rPr>
        <w:t xml:space="preserve">города Перми» </w:t>
      </w:r>
      <w:r>
        <w:rPr>
          <w:b/>
        </w:rPr>
      </w:r>
    </w:p>
    <w:p>
      <w:pPr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rFonts w:eastAsia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города Перми </w:t>
      </w:r>
      <w:r>
        <w:rPr>
          <w:sz w:val="28"/>
          <w:szCs w:val="28"/>
        </w:rPr>
        <w:br w:type="textWrapping" w:clear="all"/>
        <w:t xml:space="preserve">от 20 февраля 2021 г. № 101 «Об утверждении Порядка определения объема </w:t>
      </w:r>
      <w:r>
        <w:rPr>
          <w:sz w:val="28"/>
          <w:szCs w:val="28"/>
        </w:rPr>
        <w:br w:type="textWrapping" w:clear="all"/>
        <w:t xml:space="preserve">и условий предоставления субси</w:t>
      </w:r>
      <w:r>
        <w:rPr>
          <w:sz w:val="28"/>
          <w:szCs w:val="28"/>
        </w:rPr>
        <w:t xml:space="preserve">дий на иные цели бюджетным и автономным учреждениям, подведомственным департаменту культуры и молодежной политики администрации города Перми, на мероприятия, направленные на решение отдельных вопросов местного значения в микрорайонах города Перми» (в ред. </w:t>
      </w:r>
      <w:r>
        <w:rPr>
          <w:sz w:val="28"/>
          <w:szCs w:val="28"/>
        </w:rPr>
        <w:br w:type="textWrapping" w:clear="all"/>
        <w:t xml:space="preserve">от 03.02.2022 № 57, от 05.05.2022 № 342, от 25.01.2023 № 41, от 16.05.2023 № 394, </w:t>
      </w:r>
      <w:r>
        <w:rPr>
          <w:sz w:val="28"/>
          <w:szCs w:val="28"/>
        </w:rPr>
        <w:br w:type="textWrapping" w:clear="all"/>
        <w:t xml:space="preserve">от 31.08.2023 № 789, от 29.12.2023 № 1524, от 13.03.2024 № 181, от 17.10.2024 </w:t>
      </w:r>
      <w:r>
        <w:rPr>
          <w:sz w:val="28"/>
          <w:szCs w:val="28"/>
        </w:rPr>
        <w:br/>
        <w:t xml:space="preserve">№ 949), заменив в преамбуле цифры «2025-2027» цифрами «2026-2028».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Порядок определения объема 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</w:t>
      </w:r>
      <w:r>
        <w:rPr>
          <w:sz w:val="28"/>
          <w:szCs w:val="28"/>
        </w:rPr>
        <w:br w:type="textWrapping" w:clear="all"/>
        <w:t xml:space="preserve">на мероприятия, направленные на решение отдельных вопросов местного значения в микрорайонах города Перми, утвержденный постановлением администрации города Перми от 20 февраля 2021 г. № 101 (в ред. от 03.02.2022 № 57, </w:t>
      </w:r>
      <w:r>
        <w:rPr>
          <w:sz w:val="28"/>
          <w:szCs w:val="28"/>
        </w:rPr>
        <w:br w:type="textWrapping" w:clear="all"/>
        <w:t xml:space="preserve">от 05.05.2022 № 342, от 25.01.2023 № 41, от 16.05.2023 № 394, от 31.08.2023 </w:t>
      </w:r>
      <w:r>
        <w:rPr>
          <w:sz w:val="28"/>
          <w:szCs w:val="28"/>
        </w:rPr>
        <w:br w:type="textWrapping" w:clear="all"/>
        <w:t xml:space="preserve">№ 789, от 29.12.2023 № 1524, от 13.03.2024 № 181, от 17.10.2024 № 949), следующие изменения: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пункте 1.2 цифры «2025-2027» заменить цифрами «2026-2028»;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1.4: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абзац первый изложить в следующей редакции:</w:t>
      </w:r>
      <w:r>
        <w:rPr>
          <w:sz w:val="28"/>
          <w:szCs w:val="28"/>
        </w:rPr>
      </w:r>
    </w:p>
    <w:p>
      <w:pPr>
        <w:pStyle w:val="941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«1.4. Субсидии на иные цели предоставляются Учреждениям в пределах бюджетных ассигнований в соответствии со сводной бюджетной росписью бюджета города </w:t>
      </w:r>
      <w:r>
        <w:rPr>
          <w:sz w:val="28"/>
          <w:szCs w:val="28"/>
        </w:rPr>
        <w:t xml:space="preserve">Перми </w:t>
      </w:r>
      <w:r>
        <w:rPr>
          <w:sz w:val="28"/>
          <w:szCs w:val="28"/>
        </w:rPr>
        <w:t xml:space="preserve">на текущий финансовый год и плановый период, </w:t>
      </w:r>
      <w:r>
        <w:rPr>
          <w:sz w:val="28"/>
          <w:szCs w:val="28"/>
        </w:rPr>
        <w:t xml:space="preserve">в рамках реализации Перечня мероприятий по следующим направлениям расходов:»; </w:t>
      </w:r>
      <w:r>
        <w:rPr>
          <w:sz w:val="28"/>
          <w:szCs w:val="28"/>
        </w:rPr>
      </w:r>
    </w:p>
    <w:p>
      <w:pPr>
        <w:pStyle w:val="941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2.2.2. абзац седьмой признать утратившим силу;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2.3. пункт 2.2 изложить в следующей редакции: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Рассмотрение и проверка документов на полноту их представления </w:t>
      </w:r>
      <w:r>
        <w:rPr>
          <w:sz w:val="28"/>
          <w:szCs w:val="28"/>
        </w:rPr>
        <w:br/>
        <w:t xml:space="preserve">в соответствии с пунктом 2.1 настоящего Поряд</w:t>
      </w:r>
      <w:r>
        <w:rPr>
          <w:sz w:val="28"/>
          <w:szCs w:val="28"/>
        </w:rPr>
        <w:t xml:space="preserve">ка осуществляется Департаментом в течение 10 рабочих дней с даты их представления. Размер субсидий на иные цели в разрезе Учреждений устанавливается приказом начальника Департамента на основании Перечня мероприятий. Приказ начальника Департамента издается </w:t>
      </w:r>
      <w:r>
        <w:rPr>
          <w:sz w:val="28"/>
          <w:szCs w:val="28"/>
        </w:rPr>
        <w:br/>
        <w:t xml:space="preserve">в течение 20 рабочих дней после рассмотрения и проверки документов, представленных Учреждениями в соответствии с пунктом 2.1 настоящего Порядка.»;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пункте 2.5.2 слова «приобретение и установку узлов учета тепловой и электрической энергии,» исключить;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sz w:val="28"/>
          <w:szCs w:val="28"/>
        </w:rPr>
        <w:t xml:space="preserve">в пункте 2.5.3 слово «ремонт» в соответствующем падеже заменить словом «текущий ремонт» в соответствующем падеже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</w:t>
      </w:r>
      <w:r>
        <w:rPr>
          <w:rFonts w:eastAsia="Calibri"/>
          <w:sz w:val="28"/>
          <w:szCs w:val="28"/>
          <w:lang w:eastAsia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. пункт 2.13 изложить в следующей редакции: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spacing w:line="288" w:lineRule="atLeas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«2.13. Результатом предоставления субсидий на иные цели являются: </w:t>
      </w:r>
      <w:r>
        <w:rPr>
          <w:rFonts w:eastAsia="Times New Roman"/>
          <w:sz w:val="28"/>
          <w:szCs w:val="28"/>
        </w:rPr>
      </w:r>
    </w:p>
    <w:p>
      <w:pPr>
        <w:ind w:firstLine="720"/>
        <w:jc w:val="both"/>
        <w:spacing w:line="288" w:lineRule="atLeas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количество организованных и проведенных культурно-массовых мероприятий;</w:t>
      </w:r>
      <w:r>
        <w:rPr>
          <w:rFonts w:eastAsia="Times New Roman"/>
          <w:sz w:val="28"/>
          <w:szCs w:val="28"/>
        </w:rPr>
      </w:r>
    </w:p>
    <w:p>
      <w:pPr>
        <w:pStyle w:val="941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количество имущественных комплексов, в которых проводятся работы </w:t>
      </w:r>
      <w:r>
        <w:rPr>
          <w:sz w:val="28"/>
          <w:szCs w:val="28"/>
        </w:rPr>
        <w:br/>
        <w:t xml:space="preserve">по обустройству средствами беспрепятственного доступа, благоустройству </w:t>
      </w:r>
      <w:r>
        <w:rPr>
          <w:sz w:val="28"/>
          <w:szCs w:val="28"/>
        </w:rPr>
        <w:t xml:space="preserve">территории, </w:t>
      </w:r>
      <w:r>
        <w:rPr>
          <w:sz w:val="28"/>
          <w:szCs w:val="28"/>
        </w:rPr>
        <w:t xml:space="preserve">текущему </w:t>
      </w:r>
      <w:r>
        <w:rPr>
          <w:sz w:val="28"/>
          <w:szCs w:val="28"/>
        </w:rPr>
        <w:t xml:space="preserve">ремонту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941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Учреждений</w:t>
      </w:r>
      <w:r>
        <w:rPr>
          <w:sz w:val="28"/>
          <w:szCs w:val="28"/>
        </w:rPr>
        <w:t xml:space="preserve">, обновивших материально-техническую базу.</w:t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План мероприятий по достижению результатов предоставления субсидий </w:t>
      </w:r>
      <w:r>
        <w:rPr>
          <w:rFonts w:eastAsia="Times New Roman"/>
          <w:sz w:val="28"/>
          <w:szCs w:val="28"/>
        </w:rPr>
        <w:br/>
        <w:t xml:space="preserve">на иные цели устанавливается Соглашением.»;</w:t>
      </w:r>
      <w:r>
        <w:rPr>
          <w:rFonts w:eastAsia="Times New Roman"/>
          <w:sz w:val="28"/>
          <w:szCs w:val="28"/>
        </w:rPr>
      </w:r>
    </w:p>
    <w:p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</w:t>
      </w:r>
      <w:r>
        <w:rPr>
          <w:rFonts w:eastAsia="Times New Roman"/>
          <w:sz w:val="28"/>
          <w:szCs w:val="28"/>
        </w:rPr>
        <w:t xml:space="preserve">7</w:t>
      </w:r>
      <w:r>
        <w:rPr>
          <w:rFonts w:eastAsia="Times New Roman"/>
          <w:sz w:val="28"/>
          <w:szCs w:val="28"/>
        </w:rPr>
        <w:t xml:space="preserve">. пункт 3.1 изложить в следующей редакции: </w:t>
      </w:r>
      <w:r>
        <w:rPr>
          <w:rFonts w:eastAsia="Times New Roman"/>
          <w:sz w:val="28"/>
          <w:szCs w:val="28"/>
        </w:rPr>
      </w:r>
    </w:p>
    <w:p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«3.1. Учреждения по форме, установленной в Соглашении, представляют </w:t>
      </w:r>
      <w:r>
        <w:rPr>
          <w:rFonts w:eastAsia="Times New Roman"/>
          <w:sz w:val="28"/>
          <w:szCs w:val="28"/>
        </w:rPr>
        <w:br/>
        <w:t xml:space="preserve">в Департамент следующие отчеты (далее – Отчеты): </w:t>
      </w:r>
      <w:r>
        <w:rPr>
          <w:rFonts w:eastAsia="Times New Roman"/>
          <w:sz w:val="28"/>
          <w:szCs w:val="28"/>
        </w:rPr>
      </w:r>
    </w:p>
    <w:p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rFonts w:eastAsia="Times New Roman"/>
          <w:sz w:val="28"/>
          <w:szCs w:val="28"/>
        </w:rPr>
      </w:r>
    </w:p>
    <w:p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отчет о достижении значений результатов предоставления субсидий на иные цели – ежегодно не позднее 15 рабочего дня месяца, следующего за отчетным годом; </w:t>
      </w:r>
      <w:r>
        <w:rPr>
          <w:rFonts w:eastAsia="Times New Roman"/>
          <w:sz w:val="28"/>
          <w:szCs w:val="28"/>
        </w:rPr>
      </w:r>
    </w:p>
    <w:p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отчет о реализации плана мероприятий п</w:t>
      </w:r>
      <w:r>
        <w:rPr>
          <w:rFonts w:eastAsia="Times New Roman"/>
          <w:sz w:val="28"/>
          <w:szCs w:val="28"/>
        </w:rPr>
        <w:t xml:space="preserve">о достижению результатов предоставления субсидий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субсидий </w:t>
      </w:r>
      <w:r>
        <w:rPr>
          <w:rFonts w:eastAsia="Times New Roman"/>
          <w:sz w:val="28"/>
          <w:szCs w:val="28"/>
        </w:rPr>
        <w:br/>
        <w:t xml:space="preserve">на иные цели.»;</w:t>
      </w:r>
      <w:r>
        <w:rPr>
          <w:rFonts w:eastAsia="Times New Roman"/>
          <w:sz w:val="28"/>
          <w:szCs w:val="28"/>
        </w:rPr>
      </w:r>
    </w:p>
    <w:p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</w:t>
      </w:r>
      <w:r>
        <w:rPr>
          <w:rFonts w:eastAsia="Times New Roman"/>
          <w:sz w:val="28"/>
          <w:szCs w:val="28"/>
        </w:rPr>
        <w:t xml:space="preserve">8</w:t>
      </w:r>
      <w:r>
        <w:rPr>
          <w:rFonts w:eastAsia="Times New Roman"/>
          <w:sz w:val="28"/>
          <w:szCs w:val="28"/>
        </w:rPr>
        <w:t xml:space="preserve">. пункт 3.2 изложить в следующей редакции:</w:t>
      </w:r>
      <w:r>
        <w:rPr>
          <w:rFonts w:eastAsia="Times New Roman"/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</w:rPr>
        <w:t xml:space="preserve">«3.2. Ответственность </w:t>
      </w:r>
      <w:r>
        <w:rPr>
          <w:rFonts w:eastAsia="Times New Roman"/>
          <w:color w:val="000000"/>
          <w:sz w:val="28"/>
          <w:szCs w:val="28"/>
        </w:rPr>
        <w:t xml:space="preserve">за своевременность представления Отчетов и достоверность отчетных данных возлагается на руководителя Учреждения.</w:t>
      </w:r>
      <w:r>
        <w:rPr>
          <w:rFonts w:eastAsia="Times New Roman"/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Times New Roman"/>
          <w:sz w:val="28"/>
          <w:szCs w:val="28"/>
        </w:rPr>
      </w:r>
    </w:p>
    <w:p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Управлению по общим вопр</w:t>
      </w:r>
      <w:r>
        <w:rPr>
          <w:rFonts w:eastAsia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Times New Roman"/>
          <w:sz w:val="28"/>
          <w:szCs w:val="28"/>
        </w:rPr>
      </w:r>
    </w:p>
    <w:p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eastAsia="Times New Roman"/>
          <w:sz w:val="28"/>
          <w:szCs w:val="28"/>
        </w:rPr>
      </w:r>
    </w:p>
    <w:p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rFonts w:eastAsia="Times New Roman"/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rFonts w:eastAsia="Times New Roman"/>
          <w:sz w:val="28"/>
          <w:szCs w:val="28"/>
        </w:rPr>
      </w:r>
    </w:p>
    <w:p>
      <w:pPr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right" w:pos="992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lang w:eastAsia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SimSun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rPr>
        <w:rStyle w:val="937"/>
      </w:rPr>
      <w:framePr w:wrap="around" w:vAnchor="text" w:hAnchor="margin" w:xAlign="center" w:y="1"/>
    </w:pPr>
    <w:r>
      <w:rPr>
        <w:rStyle w:val="937"/>
      </w:rPr>
      <w:fldChar w:fldCharType="begin"/>
    </w:r>
    <w:r>
      <w:rPr>
        <w:rStyle w:val="937"/>
      </w:rPr>
      <w:instrText xml:space="preserve">PAGE  </w:instrText>
    </w:r>
    <w:r>
      <w:rPr>
        <w:rStyle w:val="937"/>
      </w:rPr>
      <w:fldChar w:fldCharType="end"/>
    </w:r>
    <w:r>
      <w:rPr>
        <w:rStyle w:val="937"/>
      </w:rPr>
    </w:r>
  </w:p>
  <w:p>
    <w:pPr>
      <w:pStyle w:val="77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center"/>
    </w:pPr>
    <w:r/>
    <w:r/>
  </w:p>
  <w:p>
    <w:pPr>
      <w:pStyle w:val="7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 w:default="1">
    <w:name w:val="Normal"/>
    <w:qFormat/>
  </w:style>
  <w:style w:type="paragraph" w:styleId="732">
    <w:name w:val="Heading 1"/>
    <w:basedOn w:val="731"/>
    <w:next w:val="731"/>
    <w:link w:val="927"/>
    <w:qFormat/>
    <w:pPr>
      <w:ind w:right="-1" w:firstLine="709"/>
      <w:jc w:val="both"/>
      <w:keepNext/>
      <w:outlineLvl w:val="0"/>
    </w:pPr>
    <w:rPr>
      <w:sz w:val="24"/>
    </w:rPr>
  </w:style>
  <w:style w:type="paragraph" w:styleId="733">
    <w:name w:val="Heading 2"/>
    <w:basedOn w:val="731"/>
    <w:next w:val="731"/>
    <w:link w:val="928"/>
    <w:qFormat/>
    <w:pPr>
      <w:ind w:right="-1"/>
      <w:jc w:val="both"/>
      <w:keepNext/>
      <w:outlineLvl w:val="1"/>
    </w:pPr>
    <w:rPr>
      <w:sz w:val="24"/>
    </w:rPr>
  </w:style>
  <w:style w:type="paragraph" w:styleId="734">
    <w:name w:val="Heading 3"/>
    <w:basedOn w:val="731"/>
    <w:next w:val="731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731"/>
    <w:next w:val="731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731"/>
    <w:next w:val="731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731"/>
    <w:next w:val="731"/>
    <w:link w:val="7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3 Char"/>
    <w:basedOn w:val="741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basedOn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41"/>
    <w:uiPriority w:val="9"/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41"/>
    <w:uiPriority w:val="10"/>
    <w:rPr>
      <w:sz w:val="48"/>
      <w:szCs w:val="48"/>
    </w:rPr>
  </w:style>
  <w:style w:type="character" w:styleId="752" w:customStyle="1">
    <w:name w:val="Subtitle Char"/>
    <w:basedOn w:val="741"/>
    <w:uiPriority w:val="11"/>
    <w:rPr>
      <w:sz w:val="24"/>
      <w:szCs w:val="24"/>
    </w:rPr>
  </w:style>
  <w:style w:type="character" w:styleId="753" w:customStyle="1">
    <w:name w:val="Quote Char"/>
    <w:uiPriority w:val="29"/>
    <w:rPr>
      <w:i/>
    </w:rPr>
  </w:style>
  <w:style w:type="character" w:styleId="754" w:customStyle="1">
    <w:name w:val="Intense Quote Char"/>
    <w:uiPriority w:val="30"/>
    <w:rPr>
      <w:i/>
    </w:rPr>
  </w:style>
  <w:style w:type="character" w:styleId="755" w:customStyle="1">
    <w:name w:val="Caption Char"/>
    <w:basedOn w:val="741"/>
    <w:uiPriority w:val="35"/>
    <w:rPr>
      <w:b/>
      <w:bCs/>
      <w:color w:val="4f81bd" w:themeColor="accent1"/>
      <w:sz w:val="18"/>
      <w:szCs w:val="18"/>
    </w:rPr>
  </w:style>
  <w:style w:type="character" w:styleId="756" w:customStyle="1">
    <w:name w:val="Footnote Text Char"/>
    <w:uiPriority w:val="99"/>
    <w:rPr>
      <w:sz w:val="18"/>
    </w:rPr>
  </w:style>
  <w:style w:type="character" w:styleId="757" w:customStyle="1">
    <w:name w:val="Endnote Text Char"/>
    <w:uiPriority w:val="99"/>
    <w:rPr>
      <w:sz w:val="20"/>
    </w:rPr>
  </w:style>
  <w:style w:type="character" w:styleId="75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uiPriority w:val="9"/>
    <w:rPr>
      <w:rFonts w:ascii="Arial" w:hAnsi="Arial" w:eastAsia="Arial" w:cs="Arial"/>
      <w:sz w:val="34"/>
    </w:rPr>
  </w:style>
  <w:style w:type="character" w:styleId="760" w:customStyle="1">
    <w:name w:val="Заголовок 3 Знак"/>
    <w:link w:val="734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Заголовок 4 Знак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Заголовок 5 Знак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Заголовок 6 Знак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Заголовок 7 Знак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Заголовок 8 Знак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Заголовок 9 Знак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List Paragraph"/>
    <w:basedOn w:val="731"/>
    <w:uiPriority w:val="34"/>
    <w:qFormat/>
    <w:pPr>
      <w:contextualSpacing/>
      <w:ind w:left="720"/>
    </w:pPr>
  </w:style>
  <w:style w:type="paragraph" w:styleId="768">
    <w:name w:val="No Spacing"/>
    <w:uiPriority w:val="1"/>
    <w:qFormat/>
    <w:rPr>
      <w:lang w:eastAsia="zh-CN"/>
    </w:rPr>
  </w:style>
  <w:style w:type="paragraph" w:styleId="769">
    <w:name w:val="Title"/>
    <w:basedOn w:val="731"/>
    <w:next w:val="731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 w:customStyle="1">
    <w:name w:val="Заголовок Знак"/>
    <w:link w:val="769"/>
    <w:uiPriority w:val="10"/>
    <w:rPr>
      <w:sz w:val="48"/>
      <w:szCs w:val="48"/>
    </w:rPr>
  </w:style>
  <w:style w:type="paragraph" w:styleId="771">
    <w:name w:val="Subtitle"/>
    <w:basedOn w:val="731"/>
    <w:next w:val="731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 w:customStyle="1">
    <w:name w:val="Подзаголовок Знак"/>
    <w:link w:val="771"/>
    <w:uiPriority w:val="11"/>
    <w:rPr>
      <w:sz w:val="24"/>
      <w:szCs w:val="24"/>
    </w:rPr>
  </w:style>
  <w:style w:type="paragraph" w:styleId="773">
    <w:name w:val="Quote"/>
    <w:basedOn w:val="731"/>
    <w:next w:val="731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rPr>
      <w:i/>
    </w:rPr>
  </w:style>
  <w:style w:type="paragraph" w:styleId="775">
    <w:name w:val="Intense Quote"/>
    <w:basedOn w:val="731"/>
    <w:next w:val="731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paragraph" w:styleId="777">
    <w:name w:val="Header"/>
    <w:basedOn w:val="731"/>
    <w:link w:val="936"/>
    <w:uiPriority w:val="99"/>
    <w:pPr>
      <w:tabs>
        <w:tab w:val="center" w:pos="4153" w:leader="none"/>
        <w:tab w:val="right" w:pos="8306" w:leader="none"/>
      </w:tabs>
    </w:pPr>
  </w:style>
  <w:style w:type="character" w:styleId="778" w:customStyle="1">
    <w:name w:val="Header Char"/>
    <w:uiPriority w:val="99"/>
  </w:style>
  <w:style w:type="paragraph" w:styleId="779">
    <w:name w:val="Footer"/>
    <w:basedOn w:val="731"/>
    <w:link w:val="935"/>
    <w:uiPriority w:val="99"/>
    <w:pPr>
      <w:tabs>
        <w:tab w:val="center" w:pos="4153" w:leader="none"/>
        <w:tab w:val="right" w:pos="8306" w:leader="none"/>
      </w:tabs>
    </w:pPr>
  </w:style>
  <w:style w:type="character" w:styleId="780" w:customStyle="1">
    <w:name w:val="Footer Char"/>
    <w:uiPriority w:val="99"/>
  </w:style>
  <w:style w:type="paragraph" w:styleId="781">
    <w:name w:val="Caption"/>
    <w:basedOn w:val="731"/>
    <w:next w:val="731"/>
    <w:link w:val="78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2" w:customStyle="1">
    <w:name w:val="Название объекта Знак"/>
    <w:link w:val="781"/>
    <w:uiPriority w:val="35"/>
    <w:rPr>
      <w:b/>
      <w:bCs/>
      <w:color w:val="4f81bd"/>
      <w:sz w:val="18"/>
      <w:szCs w:val="18"/>
    </w:rPr>
  </w:style>
  <w:style w:type="table" w:styleId="783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9">
    <w:name w:val="Hyperlink"/>
    <w:uiPriority w:val="99"/>
    <w:unhideWhenUsed/>
    <w:rPr>
      <w:color w:val="0000ff"/>
      <w:u w:val="single"/>
    </w:rPr>
  </w:style>
  <w:style w:type="paragraph" w:styleId="910">
    <w:name w:val="footnote text"/>
    <w:basedOn w:val="731"/>
    <w:link w:val="911"/>
    <w:uiPriority w:val="99"/>
    <w:semiHidden/>
    <w:unhideWhenUsed/>
    <w:pPr>
      <w:spacing w:after="40"/>
    </w:pPr>
    <w:rPr>
      <w:sz w:val="18"/>
    </w:rPr>
  </w:style>
  <w:style w:type="character" w:styleId="911" w:customStyle="1">
    <w:name w:val="Текст сноски Знак"/>
    <w:link w:val="910"/>
    <w:uiPriority w:val="99"/>
    <w:rPr>
      <w:sz w:val="18"/>
    </w:rPr>
  </w:style>
  <w:style w:type="character" w:styleId="912">
    <w:name w:val="footnote reference"/>
    <w:uiPriority w:val="99"/>
    <w:unhideWhenUsed/>
    <w:rPr>
      <w:vertAlign w:val="superscript"/>
    </w:rPr>
  </w:style>
  <w:style w:type="paragraph" w:styleId="913">
    <w:name w:val="endnote text"/>
    <w:basedOn w:val="731"/>
    <w:link w:val="914"/>
    <w:uiPriority w:val="99"/>
    <w:semiHidden/>
    <w:unhideWhenUsed/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uiPriority w:val="99"/>
    <w:semiHidden/>
    <w:unhideWhenUsed/>
    <w:rPr>
      <w:vertAlign w:val="superscript"/>
    </w:rPr>
  </w:style>
  <w:style w:type="paragraph" w:styleId="916">
    <w:name w:val="toc 1"/>
    <w:basedOn w:val="731"/>
    <w:next w:val="731"/>
    <w:uiPriority w:val="39"/>
    <w:unhideWhenUsed/>
    <w:pPr>
      <w:spacing w:after="57"/>
    </w:pPr>
  </w:style>
  <w:style w:type="paragraph" w:styleId="917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918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919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920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21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22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23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24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  <w:rPr>
      <w:lang w:eastAsia="zh-CN"/>
    </w:rPr>
  </w:style>
  <w:style w:type="paragraph" w:styleId="926">
    <w:name w:val="table of figures"/>
    <w:basedOn w:val="731"/>
    <w:next w:val="731"/>
    <w:uiPriority w:val="99"/>
    <w:unhideWhenUsed/>
  </w:style>
  <w:style w:type="character" w:styleId="927" w:customStyle="1">
    <w:name w:val="Заголовок 1 Знак"/>
    <w:link w:val="732"/>
    <w:rPr>
      <w:sz w:val="24"/>
    </w:rPr>
  </w:style>
  <w:style w:type="character" w:styleId="928" w:customStyle="1">
    <w:name w:val="Заголовок 2 Знак"/>
    <w:link w:val="733"/>
    <w:rPr>
      <w:sz w:val="24"/>
    </w:rPr>
  </w:style>
  <w:style w:type="paragraph" w:styleId="929">
    <w:name w:val="Balloon Text"/>
    <w:basedOn w:val="731"/>
    <w:link w:val="930"/>
    <w:rPr>
      <w:rFonts w:ascii="Segoe UI" w:hAnsi="Segoe UI"/>
      <w:sz w:val="18"/>
      <w:szCs w:val="18"/>
    </w:rPr>
  </w:style>
  <w:style w:type="character" w:styleId="930" w:customStyle="1">
    <w:name w:val="Текст выноски Знак"/>
    <w:link w:val="929"/>
    <w:rPr>
      <w:rFonts w:ascii="Segoe UI" w:hAnsi="Segoe UI" w:cs="Segoe UI"/>
      <w:sz w:val="18"/>
      <w:szCs w:val="18"/>
    </w:rPr>
  </w:style>
  <w:style w:type="paragraph" w:styleId="931">
    <w:name w:val="Body Text"/>
    <w:basedOn w:val="731"/>
    <w:link w:val="932"/>
    <w:pPr>
      <w:ind w:right="3117"/>
    </w:pPr>
    <w:rPr>
      <w:rFonts w:ascii="Courier New" w:hAnsi="Courier New"/>
      <w:sz w:val="26"/>
    </w:rPr>
  </w:style>
  <w:style w:type="character" w:styleId="932" w:customStyle="1">
    <w:name w:val="Основной текст Знак"/>
    <w:link w:val="931"/>
    <w:rPr>
      <w:rFonts w:ascii="Courier New" w:hAnsi="Courier New"/>
      <w:sz w:val="26"/>
    </w:rPr>
  </w:style>
  <w:style w:type="paragraph" w:styleId="933">
    <w:name w:val="Body Text Indent"/>
    <w:basedOn w:val="731"/>
    <w:link w:val="934"/>
    <w:pPr>
      <w:ind w:right="-1"/>
      <w:jc w:val="both"/>
    </w:pPr>
    <w:rPr>
      <w:sz w:val="26"/>
    </w:rPr>
  </w:style>
  <w:style w:type="character" w:styleId="934" w:customStyle="1">
    <w:name w:val="Основной текст с отступом Знак"/>
    <w:link w:val="933"/>
    <w:rPr>
      <w:sz w:val="26"/>
    </w:rPr>
  </w:style>
  <w:style w:type="character" w:styleId="935" w:customStyle="1">
    <w:name w:val="Нижний колонтитул Знак"/>
    <w:link w:val="779"/>
    <w:uiPriority w:val="99"/>
  </w:style>
  <w:style w:type="character" w:styleId="936" w:customStyle="1">
    <w:name w:val="Верхний колонтитул Знак"/>
    <w:link w:val="777"/>
    <w:uiPriority w:val="99"/>
  </w:style>
  <w:style w:type="character" w:styleId="937">
    <w:name w:val="page number"/>
  </w:style>
  <w:style w:type="paragraph" w:styleId="938" w:customStyle="1">
    <w:name w:val="Форма"/>
    <w:rPr>
      <w:sz w:val="28"/>
      <w:szCs w:val="28"/>
    </w:rPr>
  </w:style>
  <w:style w:type="paragraph" w:styleId="939" w:customStyle="1">
    <w:name w:val="ConsPlusTitle"/>
    <w:uiPriority w:val="99"/>
    <w:pPr>
      <w:widowControl w:val="off"/>
    </w:pPr>
    <w:rPr>
      <w:rFonts w:ascii="Calibri" w:hAnsi="Calibri" w:cs="Calibri"/>
      <w:b/>
      <w:sz w:val="22"/>
    </w:rPr>
  </w:style>
  <w:style w:type="paragraph" w:styleId="940" w:customStyle="1">
    <w:name w:val="ConsPlusNormal"/>
    <w:uiPriority w:val="99"/>
    <w:pPr>
      <w:widowControl w:val="off"/>
    </w:pPr>
    <w:rPr>
      <w:rFonts w:ascii="Calibri" w:hAnsi="Calibri" w:cs="Calibri"/>
      <w:sz w:val="22"/>
    </w:rPr>
  </w:style>
  <w:style w:type="paragraph" w:styleId="941">
    <w:name w:val="Normal (Web)"/>
    <w:basedOn w:val="731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46</cp:revision>
  <dcterms:created xsi:type="dcterms:W3CDTF">2025-10-15T13:21:00Z</dcterms:created>
  <dcterms:modified xsi:type="dcterms:W3CDTF">2025-10-17T10:40:43Z</dcterms:modified>
  <cp:version>1048576</cp:version>
</cp:coreProperties>
</file>