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812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5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812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095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095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5095"/>
        <w:spacing w:line="240" w:lineRule="exact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б утвержде</w:t>
      </w:r>
      <w:r>
        <w:rPr>
          <w:b/>
          <w:bCs/>
          <w:sz w:val="28"/>
          <w:szCs w:val="28"/>
        </w:rPr>
        <w:t xml:space="preserve">нии размера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нормативных затрат на оказание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муниципальной услуги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«Р</w:t>
      </w:r>
      <w:r>
        <w:rPr>
          <w:b/>
          <w:bCs/>
          <w:sz w:val="28"/>
          <w:szCs w:val="28"/>
        </w:rPr>
        <w:t xml:space="preserve">еализация дополнительных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профессиональных программ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повышения квалификации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 нормативных затрат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на содержание муниципального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имущества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202</w:t>
      </w:r>
      <w:r>
        <w:rPr>
          <w:b/>
          <w:bCs/>
          <w:sz w:val="28"/>
          <w:szCs w:val="28"/>
        </w:rPr>
        <w:t xml:space="preserve">6</w:t>
      </w:r>
      <w:r>
        <w:rPr>
          <w:b/>
          <w:bCs/>
          <w:sz w:val="28"/>
          <w:szCs w:val="28"/>
        </w:rPr>
        <w:t xml:space="preserve"> год </w:t>
      </w:r>
      <w:r>
        <w:rPr>
          <w:b/>
          <w:bCs/>
          <w:sz w:val="28"/>
          <w:szCs w:val="28"/>
        </w:rPr>
        <w:t xml:space="preserve">и плановый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период 202</w:t>
      </w:r>
      <w:r>
        <w:rPr>
          <w:b/>
          <w:bCs/>
          <w:sz w:val="28"/>
          <w:szCs w:val="28"/>
        </w:rPr>
        <w:t xml:space="preserve">7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202</w:t>
      </w:r>
      <w:r>
        <w:rPr>
          <w:b/>
          <w:bCs/>
          <w:sz w:val="28"/>
          <w:szCs w:val="28"/>
        </w:rPr>
        <w:t xml:space="preserve">8</w:t>
      </w:r>
      <w:r>
        <w:rPr>
          <w:b/>
          <w:bCs/>
          <w:sz w:val="28"/>
          <w:szCs w:val="28"/>
        </w:rPr>
        <w:t xml:space="preserve"> годов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 значений натуральных норм,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используемых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при определении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базовых нормативов затрат на оказание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муниципальной услуги </w:t>
      </w:r>
      <w:r>
        <w:rPr>
          <w:b/>
          <w:bCs/>
          <w:sz w:val="28"/>
          <w:szCs w:val="28"/>
        </w:rPr>
        <w:t xml:space="preserve">«Р</w:t>
      </w:r>
      <w:r>
        <w:rPr>
          <w:b/>
          <w:bCs/>
          <w:sz w:val="28"/>
          <w:szCs w:val="28"/>
        </w:rPr>
        <w:t xml:space="preserve">еализация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дополнительных </w:t>
      </w:r>
      <w:r>
        <w:rPr>
          <w:b/>
          <w:bCs/>
          <w:sz w:val="28"/>
          <w:szCs w:val="28"/>
        </w:rPr>
        <w:t xml:space="preserve">профессиональных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  <w:t xml:space="preserve">программ повышения квалификации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523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5095"/>
        <w:spacing w:line="240" w:lineRule="exac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right="5095"/>
        <w:spacing w:line="240" w:lineRule="exact"/>
        <w:rPr>
          <w:bCs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администрации города Перми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30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ноября 2007 г. </w:t>
      </w:r>
      <w:hyperlink r:id="rId12" w:tooltip="consultantplus://offline/ref=553F2395D8BF043481829D32B41FC41022BF707B32DA639758E58D9C064DF557BBB39033D784CE2CBEA44285B613CEDBB2A563I" w:history="1">
        <w:r>
          <w:rPr>
            <w:sz w:val="28"/>
            <w:szCs w:val="28"/>
          </w:rPr>
          <w:t xml:space="preserve">№</w:t>
        </w:r>
        <w:r>
          <w:rPr>
            <w:sz w:val="28"/>
            <w:szCs w:val="28"/>
          </w:rPr>
          <w:t xml:space="preserve"> 502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Порядке формирования, размещения, финансового обеспечения и контроля выполнения муниципального задания на оказание муниципаль</w:t>
      </w:r>
      <w:r>
        <w:rPr>
          <w:sz w:val="28"/>
          <w:szCs w:val="28"/>
        </w:rPr>
        <w:t xml:space="preserve">ных услуг (выполнение работ)»</w:t>
      </w:r>
      <w:r>
        <w:rPr>
          <w:sz w:val="28"/>
          <w:szCs w:val="28"/>
        </w:rPr>
        <w:t xml:space="preserve">, от 19 октября 2016 г. </w:t>
      </w:r>
      <w:hyperlink r:id="rId13" w:tooltip="consultantplus://offline/ref=553F2395D8BF043481829D32B41FC41022BF707B32DB699352E68D9C064DF557BBB39033C5849622BCA608D4F458C1D9B94CBC4329FFAAE2AD65I" w:history="1">
        <w:r>
          <w:rPr>
            <w:sz w:val="28"/>
            <w:szCs w:val="28"/>
          </w:rPr>
          <w:t xml:space="preserve">№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882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 утверждении Методики расчета нормативных затрат на оказание муниципал</w:t>
      </w:r>
      <w:r>
        <w:rPr>
          <w:sz w:val="28"/>
          <w:szCs w:val="28"/>
        </w:rPr>
        <w:t xml:space="preserve">ьной услуги «</w:t>
      </w:r>
      <w:r>
        <w:rPr>
          <w:sz w:val="28"/>
          <w:szCs w:val="28"/>
        </w:rPr>
        <w:t xml:space="preserve">Реализация дополнительных профессиональных программ повышения квалификации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 нормативных затрат на содержание муниципального имуществ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</w:t>
      </w:r>
      <w:r>
        <w:rPr>
          <w:caps/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прилагаемые: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Реализация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натуральных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Реализация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</w:t>
      </w:r>
      <w:r>
        <w:rPr>
          <w:sz w:val="28"/>
          <w:szCs w:val="28"/>
        </w:rPr>
        <w:t xml:space="preserve">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утратившим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сил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19 сентября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775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Реализация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уплату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налогов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период</w:t>
      </w:r>
      <w:r>
        <w:rPr>
          <w:sz w:val="28"/>
          <w:szCs w:val="28"/>
        </w:rPr>
        <w:t xml:space="preserve"> </w:t>
        <w:br/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натуральных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используемых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базовых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затрат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Реализация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профессиональных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квалификации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</w:rPr>
      </w:pPr>
      <w:r>
        <w:rPr>
          <w:sz w:val="28"/>
        </w:rPr>
        <w:t xml:space="preserve">4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Управлению</w:t>
      </w:r>
      <w:r>
        <w:rPr>
          <w:sz w:val="28"/>
        </w:rPr>
        <w:t xml:space="preserve"> </w:t>
      </w:r>
      <w:r>
        <w:rPr>
          <w:sz w:val="28"/>
        </w:rPr>
        <w:t xml:space="preserve">по</w:t>
      </w:r>
      <w:r>
        <w:rPr>
          <w:sz w:val="28"/>
        </w:rPr>
        <w:t xml:space="preserve"> </w:t>
      </w:r>
      <w:r>
        <w:rPr>
          <w:sz w:val="28"/>
        </w:rPr>
        <w:t xml:space="preserve">общим</w:t>
      </w:r>
      <w:r>
        <w:rPr>
          <w:sz w:val="28"/>
        </w:rPr>
        <w:t xml:space="preserve"> </w:t>
      </w:r>
      <w:r>
        <w:rPr>
          <w:sz w:val="28"/>
        </w:rPr>
        <w:t xml:space="preserve">вопросам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города</w:t>
      </w:r>
      <w:r>
        <w:rPr>
          <w:sz w:val="28"/>
        </w:rPr>
        <w:t xml:space="preserve"> </w:t>
      </w:r>
      <w:r>
        <w:rPr>
          <w:sz w:val="28"/>
        </w:rPr>
        <w:t xml:space="preserve">Перми</w:t>
      </w:r>
      <w:r>
        <w:rPr>
          <w:sz w:val="28"/>
        </w:rPr>
        <w:t xml:space="preserve"> </w:t>
      </w:r>
      <w:r>
        <w:rPr>
          <w:sz w:val="28"/>
        </w:rPr>
        <w:t xml:space="preserve">обес</w:t>
      </w:r>
      <w:r>
        <w:rPr>
          <w:sz w:val="28"/>
        </w:rPr>
        <w:t xml:space="preserve">печить</w:t>
      </w:r>
      <w:r>
        <w:rPr>
          <w:sz w:val="28"/>
        </w:rPr>
        <w:t xml:space="preserve"> </w:t>
      </w:r>
      <w:r>
        <w:rPr>
          <w:sz w:val="28"/>
        </w:rPr>
        <w:t xml:space="preserve">обнародование</w:t>
      </w:r>
      <w:r>
        <w:rPr>
          <w:sz w:val="28"/>
        </w:rPr>
        <w:t xml:space="preserve"> </w:t>
      </w:r>
      <w:r>
        <w:rPr>
          <w:sz w:val="28"/>
        </w:rPr>
        <w:t xml:space="preserve">настоящего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постановления</w:t>
      </w:r>
      <w:r>
        <w:rPr>
          <w:sz w:val="28"/>
        </w:rPr>
        <w:t xml:space="preserve">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</w:t>
      </w:r>
      <w:r>
        <w:rPr>
          <w:sz w:val="28"/>
        </w:rPr>
        <w:t xml:space="preserve">официального</w:t>
      </w:r>
      <w:r>
        <w:rPr>
          <w:sz w:val="28"/>
        </w:rPr>
        <w:t xml:space="preserve"> </w:t>
      </w:r>
      <w:r>
        <w:rPr>
          <w:sz w:val="28"/>
        </w:rPr>
        <w:t xml:space="preserve">опубликования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печатном</w:t>
      </w:r>
      <w:r>
        <w:rPr>
          <w:sz w:val="28"/>
        </w:rPr>
        <w:t xml:space="preserve"> </w:t>
      </w:r>
      <w:r>
        <w:rPr>
          <w:sz w:val="28"/>
        </w:rPr>
        <w:t xml:space="preserve">средстве</w:t>
      </w:r>
      <w:r>
        <w:rPr>
          <w:sz w:val="28"/>
        </w:rPr>
        <w:t xml:space="preserve"> </w:t>
      </w:r>
      <w:r>
        <w:rPr>
          <w:sz w:val="28"/>
        </w:rPr>
        <w:t xml:space="preserve">массовой</w:t>
      </w:r>
      <w:r>
        <w:rPr>
          <w:sz w:val="28"/>
        </w:rPr>
        <w:t xml:space="preserve"> </w:t>
      </w:r>
      <w:r>
        <w:rPr>
          <w:sz w:val="28"/>
        </w:rPr>
        <w:t xml:space="preserve">информации</w:t>
      </w:r>
      <w:r>
        <w:rPr>
          <w:sz w:val="28"/>
        </w:rPr>
        <w:t xml:space="preserve"> </w:t>
      </w:r>
      <w:r>
        <w:rPr>
          <w:sz w:val="28"/>
        </w:rPr>
        <w:t xml:space="preserve">«</w:t>
      </w:r>
      <w:r>
        <w:rPr>
          <w:sz w:val="28"/>
        </w:rPr>
        <w:t xml:space="preserve">Официальный</w:t>
      </w:r>
      <w:r>
        <w:rPr>
          <w:sz w:val="28"/>
        </w:rPr>
        <w:t xml:space="preserve"> </w:t>
      </w:r>
      <w:r>
        <w:rPr>
          <w:sz w:val="28"/>
        </w:rPr>
        <w:t xml:space="preserve">бюллетень</w:t>
      </w:r>
      <w:r>
        <w:rPr>
          <w:sz w:val="28"/>
        </w:rPr>
        <w:t xml:space="preserve"> </w:t>
      </w:r>
      <w:r>
        <w:rPr>
          <w:sz w:val="28"/>
        </w:rPr>
        <w:t xml:space="preserve">органов</w:t>
      </w:r>
      <w:r>
        <w:rPr>
          <w:sz w:val="28"/>
        </w:rPr>
        <w:t xml:space="preserve"> </w:t>
      </w:r>
      <w:r>
        <w:rPr>
          <w:sz w:val="28"/>
        </w:rPr>
        <w:t xml:space="preserve">местного</w:t>
      </w:r>
      <w:r>
        <w:rPr>
          <w:sz w:val="28"/>
        </w:rPr>
        <w:t xml:space="preserve"> </w:t>
      </w:r>
      <w:r>
        <w:rPr>
          <w:sz w:val="28"/>
        </w:rPr>
        <w:t xml:space="preserve">самоуправления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город</w:t>
      </w:r>
      <w:r>
        <w:rPr>
          <w:sz w:val="28"/>
        </w:rPr>
        <w:t xml:space="preserve"> </w:t>
      </w:r>
      <w:r>
        <w:rPr>
          <w:sz w:val="28"/>
        </w:rPr>
        <w:t xml:space="preserve">Пермь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5</w:t>
      </w:r>
      <w:r>
        <w:rPr>
          <w:sz w:val="28"/>
        </w:rPr>
        <w:t xml:space="preserve">.</w:t>
      </w:r>
      <w:r>
        <w:rPr>
          <w:sz w:val="28"/>
        </w:rPr>
        <w:t xml:space="preserve"> </w:t>
      </w:r>
      <w:r>
        <w:rPr>
          <w:sz w:val="28"/>
        </w:rPr>
        <w:t xml:space="preserve">Информационно-аналитическому</w:t>
      </w:r>
      <w:r>
        <w:rPr>
          <w:sz w:val="28"/>
        </w:rPr>
        <w:t xml:space="preserve"> </w:t>
      </w:r>
      <w:r>
        <w:rPr>
          <w:sz w:val="28"/>
        </w:rPr>
        <w:t xml:space="preserve">управлению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</w:t>
      </w:r>
      <w:r>
        <w:rPr>
          <w:sz w:val="28"/>
        </w:rPr>
        <w:t xml:space="preserve"> </w:t>
      </w:r>
      <w:r>
        <w:rPr>
          <w:sz w:val="28"/>
        </w:rPr>
        <w:t xml:space="preserve">города</w:t>
      </w:r>
      <w:r>
        <w:rPr>
          <w:sz w:val="28"/>
        </w:rPr>
        <w:t xml:space="preserve"> </w:t>
      </w:r>
      <w:r>
        <w:rPr>
          <w:sz w:val="28"/>
        </w:rPr>
        <w:t xml:space="preserve">Перми</w:t>
      </w:r>
      <w:r>
        <w:rPr>
          <w:sz w:val="28"/>
        </w:rPr>
        <w:t xml:space="preserve"> </w:t>
      </w:r>
      <w:r>
        <w:rPr>
          <w:sz w:val="28"/>
        </w:rPr>
        <w:t xml:space="preserve">обеспечить</w:t>
      </w:r>
      <w:r>
        <w:rPr>
          <w:sz w:val="28"/>
        </w:rPr>
        <w:t xml:space="preserve"> </w:t>
      </w:r>
      <w:r>
        <w:rPr>
          <w:sz w:val="28"/>
        </w:rPr>
        <w:t xml:space="preserve">обнародование</w:t>
      </w:r>
      <w:r>
        <w:rPr>
          <w:sz w:val="28"/>
        </w:rPr>
        <w:t xml:space="preserve"> </w:t>
      </w:r>
      <w:r>
        <w:rPr>
          <w:sz w:val="28"/>
        </w:rPr>
        <w:t xml:space="preserve">настоящего</w:t>
      </w:r>
      <w:r>
        <w:rPr>
          <w:sz w:val="28"/>
        </w:rPr>
        <w:t xml:space="preserve"> </w:t>
      </w:r>
      <w:r>
        <w:rPr>
          <w:sz w:val="28"/>
        </w:rPr>
        <w:t xml:space="preserve">постановления</w:t>
      </w:r>
      <w:r>
        <w:rPr>
          <w:sz w:val="28"/>
        </w:rPr>
        <w:t xml:space="preserve"> </w:t>
      </w:r>
      <w:r>
        <w:rPr>
          <w:sz w:val="28"/>
        </w:rPr>
        <w:t xml:space="preserve">посредством</w:t>
      </w:r>
      <w:r>
        <w:rPr>
          <w:sz w:val="28"/>
        </w:rPr>
        <w:t xml:space="preserve"> </w:t>
      </w:r>
      <w:r>
        <w:rPr>
          <w:sz w:val="28"/>
        </w:rPr>
        <w:t xml:space="preserve">официального</w:t>
      </w:r>
      <w:r>
        <w:rPr>
          <w:sz w:val="28"/>
        </w:rPr>
        <w:t xml:space="preserve"> </w:t>
      </w:r>
      <w:r>
        <w:rPr>
          <w:sz w:val="28"/>
        </w:rPr>
        <w:t xml:space="preserve">опубликования</w:t>
      </w:r>
      <w:r>
        <w:rPr>
          <w:sz w:val="28"/>
        </w:rPr>
        <w:t xml:space="preserve"> </w:t>
      </w:r>
      <w:r>
        <w:rPr>
          <w:sz w:val="28"/>
        </w:rPr>
        <w:t xml:space="preserve">в</w:t>
      </w:r>
      <w:r>
        <w:rPr>
          <w:sz w:val="28"/>
        </w:rPr>
        <w:t xml:space="preserve"> </w:t>
      </w:r>
      <w:r>
        <w:rPr>
          <w:sz w:val="28"/>
        </w:rPr>
        <w:t xml:space="preserve">сетевом</w:t>
      </w:r>
      <w:r>
        <w:rPr>
          <w:sz w:val="28"/>
        </w:rPr>
        <w:t xml:space="preserve"> </w:t>
      </w:r>
      <w:r>
        <w:rPr>
          <w:sz w:val="28"/>
        </w:rPr>
        <w:t xml:space="preserve">и</w:t>
      </w:r>
      <w:r>
        <w:rPr>
          <w:sz w:val="28"/>
        </w:rPr>
        <w:t xml:space="preserve">здании</w:t>
      </w:r>
      <w:r>
        <w:rPr>
          <w:sz w:val="28"/>
        </w:rPr>
        <w:t xml:space="preserve"> </w:t>
      </w:r>
      <w:r>
        <w:rPr>
          <w:sz w:val="28"/>
        </w:rPr>
        <w:t xml:space="preserve">«Официальный</w:t>
      </w:r>
      <w:r>
        <w:rPr>
          <w:sz w:val="28"/>
        </w:rPr>
        <w:t xml:space="preserve"> </w:t>
      </w:r>
      <w:r>
        <w:rPr>
          <w:sz w:val="28"/>
        </w:rPr>
        <w:t xml:space="preserve">сайт</w:t>
      </w:r>
      <w:r>
        <w:rPr>
          <w:sz w:val="28"/>
        </w:rPr>
        <w:t xml:space="preserve"> </w:t>
      </w:r>
      <w:r>
        <w:rPr>
          <w:sz w:val="28"/>
        </w:rPr>
        <w:t xml:space="preserve">муници</w:t>
      </w:r>
      <w:r>
        <w:rPr>
          <w:sz w:val="28"/>
        </w:rPr>
        <w:t xml:space="preserve">пального</w:t>
      </w:r>
      <w:r>
        <w:rPr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z w:val="28"/>
        </w:rPr>
        <w:t xml:space="preserve"> </w:t>
      </w:r>
      <w:r>
        <w:rPr>
          <w:sz w:val="28"/>
        </w:rPr>
        <w:t xml:space="preserve">город</w:t>
      </w:r>
      <w:r>
        <w:rPr>
          <w:sz w:val="28"/>
        </w:rPr>
        <w:t xml:space="preserve"> </w:t>
      </w:r>
      <w:r>
        <w:rPr>
          <w:sz w:val="28"/>
        </w:rPr>
        <w:t xml:space="preserve">Пермь</w:t>
      </w:r>
      <w:r>
        <w:rPr>
          <w:sz w:val="28"/>
        </w:rPr>
        <w:t xml:space="preserve"> </w:t>
      </w:r>
      <w:r>
        <w:rPr>
          <w:sz w:val="28"/>
        </w:rPr>
        <w:t xml:space="preserve">www.gorodperm.ru</w:t>
      </w:r>
      <w:r>
        <w:rPr>
          <w:sz w:val="28"/>
        </w:rPr>
        <w:t xml:space="preserve">»</w:t>
      </w:r>
      <w:r>
        <w:rPr>
          <w:sz w:val="28"/>
        </w:rPr>
        <w:t xml:space="preserve">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Контроль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исполнением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настоящего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возложить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  <w:t xml:space="preserve">на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заместителя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главы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города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Перми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Мальцеву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Е.Д.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Э.О.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cols w:num="1" w:sep="0" w:space="6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17.10.2025 № 812</w:t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/>
      <w:bookmarkStart w:id="0" w:name="P41"/>
      <w:r/>
      <w:bookmarkEnd w:id="0"/>
      <w:r>
        <w:rPr>
          <w:b/>
          <w:bCs/>
          <w:sz w:val="28"/>
          <w:szCs w:val="28"/>
        </w:rPr>
        <w:t xml:space="preserve">Р</w:t>
      </w:r>
      <w:r>
        <w:rPr>
          <w:b/>
          <w:bCs/>
          <w:sz w:val="28"/>
          <w:szCs w:val="28"/>
        </w:rPr>
        <w:t xml:space="preserve">АЗМЕР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затрат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оказание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услуги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</w:t>
      </w:r>
      <w:r>
        <w:rPr>
          <w:b/>
          <w:bCs/>
          <w:sz w:val="28"/>
          <w:szCs w:val="28"/>
        </w:rPr>
        <w:t xml:space="preserve">еализация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дополнительных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профессиональных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программ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повышения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квалификации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нормативных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затрат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содержание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имущества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</w:t>
      </w:r>
      <w:r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</w:rPr>
        <w:t xml:space="preserve">год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плановый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период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</w:t>
      </w:r>
      <w:r>
        <w:rPr>
          <w:b/>
          <w:bCs/>
          <w:sz w:val="28"/>
          <w:szCs w:val="28"/>
        </w:rPr>
        <w:t xml:space="preserve">7 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</w:t>
      </w:r>
      <w:r>
        <w:rPr>
          <w:b/>
          <w:bCs/>
          <w:sz w:val="28"/>
          <w:szCs w:val="28"/>
        </w:rPr>
        <w:t xml:space="preserve">8 </w:t>
      </w:r>
      <w:r>
        <w:rPr>
          <w:b/>
          <w:bCs/>
          <w:sz w:val="28"/>
          <w:szCs w:val="28"/>
        </w:rPr>
        <w:t xml:space="preserve">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3"/>
        <w:jc w:val="both"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67"/>
        <w:gridCol w:w="1472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line="12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8567"/>
        <w:gridCol w:w="1472"/>
      </w:tblGrid>
      <w:tr>
        <w:tblPrEx/>
        <w:trPr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660,07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435,16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взносы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418,91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запасов,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9,77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6,48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4,54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0,44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1,50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общехозяйственные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224,91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6,16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1,38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4,71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3,58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172,04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общехозяйственные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37,04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135 829,23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694,35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459,46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в Фонд пенсионного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443,21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234,89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182,02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37,04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135 829,23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Базовый норматив затрат на оказание муниципальной услуги,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694,35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норматив затрат, непосредственно связанных с оказанием муниципальной услуги,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459,46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работников, непосредственно связанных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оказанием муниципальной услуги, и начисления на выплаты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оплате труда работников, непосредственно связанных с оказанием муниципальной услуги, включая страховые взносы в Фонд пенсион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и социального страхования Российской Федерации и Федеральный фонд обязательного медицинского страхования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443,21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приобретение материальных запасов, используемых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процессе оказания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9,77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затраты, непосредственно связанные с оказанием муниципальной услуги,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базовый норматив затрат на общехозяйственные нужды на оказание муниципальной услуги,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234,89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коммунальные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6,16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содержание объектов недвижимого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содержание объектов особо ценного движимого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4,71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приобретение услуг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3,58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оплату труда работников, которые не принимают непосредственного участия в оказании муниципальной услуги, и начисления на выплаты по оплате труда работников, которые не принимают непосредственного участия в оказании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182,02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 на прочие общехозяйственные нужды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37,04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67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Нормативные затраты на содержание муниципального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135 829,23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sectPr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812"/>
        <w:spacing w:line="240" w:lineRule="exact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17.10.2025 № 812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812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1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натуральных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базовых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затрат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</w:t>
      </w:r>
      <w:r>
        <w:rPr>
          <w:rFonts w:ascii="Times New Roman" w:hAnsi="Times New Roman" w:cs="Times New Roman"/>
          <w:sz w:val="28"/>
          <w:szCs w:val="28"/>
        </w:rPr>
        <w:t xml:space="preserve">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jc w:val="center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63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</w:t>
      </w:r>
      <w:r>
        <w:rPr>
          <w:rFonts w:ascii="Times New Roman" w:hAnsi="Times New Roman" w:cs="Times New Roman"/>
          <w:sz w:val="28"/>
          <w:szCs w:val="28"/>
        </w:rPr>
        <w:t xml:space="preserve">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</w:t>
      </w:r>
      <w:r>
        <w:rPr>
          <w:rFonts w:ascii="Times New Roman" w:hAnsi="Times New Roman" w:cs="Times New Roman"/>
          <w:sz w:val="28"/>
          <w:szCs w:val="28"/>
        </w:rPr>
        <w:t xml:space="preserve">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3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Уникальный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реестровой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804200О.99.</w:t>
      </w:r>
      <w:r>
        <w:rPr>
          <w:rFonts w:ascii="Times New Roman" w:hAnsi="Times New Roman" w:cs="Times New Roman"/>
          <w:sz w:val="28"/>
          <w:szCs w:val="28"/>
        </w:rPr>
        <w:t xml:space="preserve">0.ББ</w:t>
      </w:r>
      <w:r>
        <w:rPr>
          <w:rFonts w:ascii="Times New Roman" w:hAnsi="Times New Roman" w:cs="Times New Roman"/>
          <w:sz w:val="28"/>
          <w:szCs w:val="28"/>
        </w:rPr>
        <w:t xml:space="preserve">60АБ20001.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3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человеко-часов.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76"/>
        <w:gridCol w:w="1632"/>
        <w:gridCol w:w="1891"/>
        <w:gridCol w:w="1940"/>
      </w:tblGrid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полезного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76"/>
        <w:gridCol w:w="1632"/>
        <w:gridCol w:w="1891"/>
        <w:gridCol w:w="1940"/>
      </w:tblGrid>
      <w:tr>
        <w:tblPrEx/>
        <w:trPr>
          <w:tblHeader/>
        </w:trPr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jc w:val="left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jc w:val="left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включая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взносы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пенсионного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0,000740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запасов,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0,035154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0,004440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0,001110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0,002220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0,000740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тетрадь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0,001480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блок-кубик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0,003700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закладок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0,003700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папка-уголок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0,003700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процессе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309994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0,001575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0,002425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(дезинфекция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дератизация)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0,006472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1.3.3.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-профилактический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охранно-тревожной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договор</w:t>
            </w:r>
            <w:r/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0,000009</w:t>
            </w:r>
            <w:r/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договор</w:t>
            </w:r>
            <w:r/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0,000009</w:t>
            </w:r>
            <w:r/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общехозяйственные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0,363907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0,001848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0,008121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твердых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0,001110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сооружения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(дезинфекция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дератизация)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0,021666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движимого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-профилактический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охранно-тревожной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картриджей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договор</w:t>
            </w:r>
            <w:r/>
          </w:p>
        </w:tc>
        <w:tc>
          <w:tcPr>
            <w:shd w:val="clear" w:color="auto" w:fill="auto"/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0,000028</w:t>
            </w:r>
            <w:r/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оргтехники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договор</w:t>
            </w:r>
            <w:r/>
          </w:p>
        </w:tc>
        <w:tc>
          <w:tcPr>
            <w:shd w:val="clear" w:color="auto" w:fill="auto"/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0,000028</w:t>
            </w:r>
            <w:r/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(местной,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внутризоновой,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междугородной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точек,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0,000148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Интернет,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начисления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техник-программист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Mar>
              <w:top w:w="0" w:type="dxa"/>
              <w:bottom w:w="0" w:type="dxa"/>
            </w:tcMar>
            <w:tcW w:w="5000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общехозяйственные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охране,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приобретаемые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гражданско-правового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0,000148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справочно-информационных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0,001073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аппарат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телефон-факс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светильник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светодиодный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0,000444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0,001073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офисный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0,002035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тумба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0,000148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0,000222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0,000407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бесперебойного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0,000740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жидкое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0,000888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(большая)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0,001776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светодиодная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0,000444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0,002220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упаковка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0,002664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0,000074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тряпка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0,000444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Mar>
              <w:top w:w="0" w:type="dxa"/>
              <w:bottom w:w="0" w:type="dxa"/>
            </w:tcMar>
            <w:tcW w:w="2279" w:type="pct"/>
            <w:textDirection w:val="lrTb"/>
            <w:noWrap w:val="false"/>
          </w:tcPr>
          <w:p>
            <w:pPr>
              <w:pStyle w:val="8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813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42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0,000888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cW w:w="966" w:type="pct"/>
            <w:textDirection w:val="lrTb"/>
            <w:noWrap w:val="false"/>
          </w:tcPr>
          <w:p>
            <w:pPr>
              <w:pStyle w:val="8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63"/>
        <w:jc w:val="both"/>
      </w:pPr>
      <w:r/>
      <w:r/>
    </w:p>
    <w:p>
      <w:pPr>
        <w:jc w:val="right"/>
        <w:rPr>
          <w:sz w:val="2"/>
          <w:szCs w:val="28"/>
        </w:rPr>
      </w:pPr>
      <w:r>
        <w:rPr>
          <w:sz w:val="2"/>
          <w:szCs w:val="28"/>
        </w:rPr>
      </w:r>
      <w:r>
        <w:rPr>
          <w:sz w:val="2"/>
          <w:szCs w:val="28"/>
        </w:rPr>
      </w:r>
      <w:r>
        <w:rPr>
          <w:sz w:val="2"/>
          <w:szCs w:val="28"/>
        </w:rPr>
      </w:r>
    </w:p>
    <w:sectPr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7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2">
    <w:name w:val="Heading 1 Char"/>
    <w:basedOn w:val="847"/>
    <w:link w:val="845"/>
    <w:uiPriority w:val="9"/>
    <w:rPr>
      <w:rFonts w:ascii="Arial" w:hAnsi="Arial" w:eastAsia="Arial" w:cs="Arial"/>
      <w:sz w:val="40"/>
      <w:szCs w:val="40"/>
    </w:rPr>
  </w:style>
  <w:style w:type="character" w:styleId="673">
    <w:name w:val="Heading 2 Char"/>
    <w:basedOn w:val="847"/>
    <w:link w:val="846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4"/>
    <w:next w:val="844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4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4"/>
    <w:next w:val="844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7"/>
    <w:link w:val="690"/>
    <w:uiPriority w:val="10"/>
    <w:rPr>
      <w:sz w:val="48"/>
      <w:szCs w:val="48"/>
    </w:rPr>
  </w:style>
  <w:style w:type="paragraph" w:styleId="692">
    <w:name w:val="Subtitle"/>
    <w:basedOn w:val="844"/>
    <w:next w:val="844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7"/>
    <w:link w:val="692"/>
    <w:uiPriority w:val="11"/>
    <w:rPr>
      <w:sz w:val="24"/>
      <w:szCs w:val="24"/>
    </w:rPr>
  </w:style>
  <w:style w:type="paragraph" w:styleId="694">
    <w:name w:val="Quote"/>
    <w:basedOn w:val="844"/>
    <w:next w:val="844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4"/>
    <w:next w:val="844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47"/>
    <w:link w:val="855"/>
    <w:uiPriority w:val="99"/>
  </w:style>
  <w:style w:type="character" w:styleId="699">
    <w:name w:val="Footer Char"/>
    <w:basedOn w:val="847"/>
    <w:link w:val="853"/>
    <w:uiPriority w:val="99"/>
  </w:style>
  <w:style w:type="character" w:styleId="700">
    <w:name w:val="Caption Char"/>
    <w:basedOn w:val="847"/>
    <w:link w:val="850"/>
    <w:uiPriority w:val="35"/>
    <w:rPr>
      <w:b/>
      <w:bCs/>
      <w:color w:val="4f81bd" w:themeColor="accent1"/>
      <w:sz w:val="18"/>
      <w:szCs w:val="18"/>
    </w:rPr>
  </w:style>
  <w:style w:type="table" w:styleId="701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7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7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paragraph" w:styleId="845">
    <w:name w:val="Heading 1"/>
    <w:basedOn w:val="844"/>
    <w:next w:val="844"/>
    <w:qFormat/>
    <w:pPr>
      <w:ind w:right="-1" w:firstLine="709"/>
      <w:jc w:val="both"/>
      <w:keepNext/>
      <w:outlineLvl w:val="0"/>
    </w:pPr>
    <w:rPr>
      <w:sz w:val="24"/>
    </w:rPr>
  </w:style>
  <w:style w:type="paragraph" w:styleId="846">
    <w:name w:val="Heading 2"/>
    <w:basedOn w:val="844"/>
    <w:next w:val="844"/>
    <w:qFormat/>
    <w:pPr>
      <w:ind w:right="-1"/>
      <w:jc w:val="both"/>
      <w:keepNext/>
      <w:outlineLvl w:val="1"/>
    </w:pPr>
    <w:rPr>
      <w:sz w:val="24"/>
    </w:rPr>
  </w:style>
  <w:style w:type="character" w:styleId="847" w:default="1">
    <w:name w:val="Default Paragraph Font"/>
    <w:uiPriority w:val="1"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Caption"/>
    <w:basedOn w:val="844"/>
    <w:next w:val="844"/>
    <w:link w:val="70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1">
    <w:name w:val="Body Text"/>
    <w:basedOn w:val="844"/>
    <w:link w:val="860"/>
    <w:pPr>
      <w:ind w:right="3117"/>
    </w:pPr>
    <w:rPr>
      <w:rFonts w:ascii="Courier New" w:hAnsi="Courier New"/>
      <w:sz w:val="26"/>
    </w:rPr>
  </w:style>
  <w:style w:type="paragraph" w:styleId="852">
    <w:name w:val="Body Text Indent"/>
    <w:basedOn w:val="844"/>
    <w:pPr>
      <w:ind w:right="-1"/>
      <w:jc w:val="both"/>
    </w:pPr>
    <w:rPr>
      <w:sz w:val="26"/>
    </w:rPr>
  </w:style>
  <w:style w:type="paragraph" w:styleId="853">
    <w:name w:val="Footer"/>
    <w:basedOn w:val="844"/>
    <w:pPr>
      <w:tabs>
        <w:tab w:val="center" w:pos="4153" w:leader="none"/>
        <w:tab w:val="right" w:pos="8306" w:leader="none"/>
      </w:tabs>
    </w:pPr>
  </w:style>
  <w:style w:type="character" w:styleId="854">
    <w:name w:val="page number"/>
    <w:basedOn w:val="847"/>
  </w:style>
  <w:style w:type="paragraph" w:styleId="855">
    <w:name w:val="Header"/>
    <w:basedOn w:val="844"/>
    <w:link w:val="858"/>
    <w:uiPriority w:val="99"/>
    <w:pPr>
      <w:tabs>
        <w:tab w:val="center" w:pos="4153" w:leader="none"/>
        <w:tab w:val="right" w:pos="8306" w:leader="none"/>
      </w:tabs>
    </w:pPr>
  </w:style>
  <w:style w:type="paragraph" w:styleId="856">
    <w:name w:val="Balloon Text"/>
    <w:basedOn w:val="844"/>
    <w:link w:val="857"/>
    <w:rPr>
      <w:rFonts w:ascii="Segoe UI" w:hAnsi="Segoe UI"/>
      <w:sz w:val="18"/>
      <w:szCs w:val="18"/>
    </w:rPr>
  </w:style>
  <w:style w:type="character" w:styleId="857" w:customStyle="1">
    <w:name w:val="Текст выноски Знак"/>
    <w:link w:val="856"/>
    <w:rPr>
      <w:rFonts w:ascii="Segoe UI" w:hAnsi="Segoe UI" w:cs="Segoe UI"/>
      <w:sz w:val="18"/>
      <w:szCs w:val="18"/>
    </w:rPr>
  </w:style>
  <w:style w:type="character" w:styleId="858" w:customStyle="1">
    <w:name w:val="Верхний колонтитул Знак"/>
    <w:link w:val="855"/>
    <w:uiPriority w:val="99"/>
  </w:style>
  <w:style w:type="paragraph" w:styleId="859" w:customStyle="1">
    <w:name w:val="Форма"/>
    <w:rPr>
      <w:sz w:val="28"/>
      <w:szCs w:val="28"/>
    </w:rPr>
  </w:style>
  <w:style w:type="character" w:styleId="860" w:customStyle="1">
    <w:name w:val="Основной текст Знак"/>
    <w:link w:val="851"/>
    <w:rPr>
      <w:rFonts w:ascii="Courier New" w:hAnsi="Courier New"/>
      <w:sz w:val="26"/>
    </w:rPr>
  </w:style>
  <w:style w:type="paragraph" w:styleId="861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</w:rPr>
  </w:style>
  <w:style w:type="table" w:styleId="862">
    <w:name w:val="Table Grid"/>
    <w:basedOn w:val="84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3" w:customStyle="1">
    <w:name w:val="ConsPlusNormal"/>
    <w:pPr>
      <w:widowControl w:val="off"/>
    </w:pPr>
    <w:rPr>
      <w:rFonts w:ascii="Calibri" w:hAnsi="Calibri" w:cs="Calibri"/>
      <w:sz w:val="22"/>
    </w:rPr>
  </w:style>
  <w:style w:type="character" w:styleId="864">
    <w:name w:val="Placeholder Text"/>
    <w:basedOn w:val="847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553F2395D8BF043481829D32B41FC41022BF707B32DA639758E58D9C064DF557BBB39033D784CE2CBEA44285B613CEDBB2A563I" TargetMode="External"/><Relationship Id="rId13" Type="http://schemas.openxmlformats.org/officeDocument/2006/relationships/hyperlink" Target="consultantplus://offline/ref=553F2395D8BF043481829D32B41FC41022BF707B32DB699352E68D9C064DF557BBB39033C5849622BCA608D4F458C1D9B94CBC4329FFAAE2AD65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700B7-AB4C-4E5E-83F1-A9A72C83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41</cp:revision>
  <dcterms:created xsi:type="dcterms:W3CDTF">2021-09-06T09:01:00Z</dcterms:created>
  <dcterms:modified xsi:type="dcterms:W3CDTF">2025-10-17T11:45:14Z</dcterms:modified>
</cp:coreProperties>
</file>