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-8822</wp:posOffset>
                </wp:positionV>
                <wp:extent cx="6285865" cy="1123248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23247"/>
                          <a:chOff x="0" y="0"/>
                          <a:chExt cx="6285864" cy="112324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8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11463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1463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168;o:allowoverlap:true;o:allowincell:true;mso-position-horizontal-relative:text;margin-left:0.60pt;mso-position-horizontal:absolute;mso-position-vertical-relative:text;margin-top:-0.69pt;mso-position-vertical:absolute;width:494.95pt;height:88.44pt;mso-wrap-distance-left:9.00pt;mso-wrap-distance-top:0.00pt;mso-wrap-distance-right:9.00pt;mso-wrap-distance-bottom:0.00pt;" coordorigin="0,0" coordsize="62858,11232">
                <v:shape id="shape 2" o:spid="_x0000_s2" o:spt="202" type="#_x0000_t202" style="position:absolute;left:0;top:0;width:62858;height:10860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8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114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14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размера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«Реализация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общеобразовательных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 дошкольного образования»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нормативных затрат на содержание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имущества 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отраслевых корректирующих коэффициентов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базовому нормативу затрат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«Реализация основных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образования», значений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определения базовых нормативов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затрат на оказание муниципальной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«Реализация основных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образования»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br w:type="textWrapping" w:clear="all"/>
        <w:t xml:space="preserve">Федерации», от 29 декабря 2012 г. № 273-ФЗ «Об образовании в Российской </w:t>
      </w:r>
      <w:r>
        <w:rPr>
          <w:sz w:val="28"/>
          <w:szCs w:val="28"/>
        </w:rPr>
        <w:br w:type="textWrapping" w:clear="all"/>
        <w:t xml:space="preserve">Федерации», от 20 марта 2025 г. № 33-ФЗ «Об общих принципах организации местного самоуправления в единой системе публичной власти», Уставом города Перми, постановлениями администрации города Перми от 30 ноября 2007 г. </w:t>
      </w:r>
      <w:r>
        <w:rPr>
          <w:sz w:val="28"/>
          <w:szCs w:val="28"/>
        </w:rPr>
        <w:br/>
        <w:t xml:space="preserve">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</w:t>
      </w:r>
      <w:r>
        <w:rPr>
          <w:sz w:val="28"/>
          <w:szCs w:val="28"/>
        </w:rPr>
        <w:t xml:space="preserve">абот)», от 10 августа 2016 г. № 576 «Об утверждении Методики расчета нормативных затрат на оказание муниципальной услуги «Реализация основных общеобразовательных программ дошкольного образования» и нормативных затрат на содержание муниципального имущества»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оказание муниципальной услуги «Реализация основных общеобразовательных программ дошкольного образования» </w:t>
      </w:r>
      <w:r>
        <w:rPr>
          <w:sz w:val="28"/>
          <w:szCs w:val="28"/>
        </w:rPr>
        <w:br/>
        <w:t xml:space="preserve">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муниципальной услуги «Реализация основных общеобразовательных программ дошкольного образования»;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размер нормативных затрат на содержание муниципального имущества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значения натуральных норм, необходимых для определения базовых нормативов затрат на оказание муниципальной услуги «Реализация основных </w:t>
      </w:r>
      <w:r>
        <w:rPr>
          <w:sz w:val="28"/>
          <w:szCs w:val="28"/>
        </w:rPr>
        <w:br w:type="textWrapping" w:clear="all"/>
        <w:t xml:space="preserve">общеобразовательных программ дошкольного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Признать утратившими силу постановления администрации города Перми: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от 04 октября 2024 г. № 829 «Об утверждении размера нормативных затрат на оказание муниципальной услуги «Реализация основных общеобразовательных программ дошк</w:t>
      </w:r>
      <w:r>
        <w:rPr>
          <w:spacing w:val="-2"/>
          <w:sz w:val="28"/>
          <w:szCs w:val="28"/>
        </w:rPr>
        <w:t xml:space="preserve">ольного образования» и нормативных затрат на содержание муниципального имущества, уплату налогов на 2025 год и плановый период 2026 и 2027 годов, отраслевых корректирующих коэффициентов к базовому нормативу затрат на оказание муниципальной услуги «Реализац</w:t>
      </w:r>
      <w:r>
        <w:rPr>
          <w:spacing w:val="-2"/>
          <w:sz w:val="28"/>
          <w:szCs w:val="28"/>
        </w:rPr>
        <w:t xml:space="preserve">ия основных общеобразовательных программ дошкольного образования», значений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 октября 2024 г. № 904 «О внесении изменений в постановление администрации города Перми от 04.10.2024 N 829 «Об утверждении размера нормативных затрат на оказание муниципальной услуги «Реализация основных общеобразовательных программ дошк</w:t>
      </w:r>
      <w:r>
        <w:rPr>
          <w:sz w:val="28"/>
          <w:szCs w:val="28"/>
        </w:rPr>
        <w:t xml:space="preserve">ольного образования» и нормативных затрат на содержание муниципального имущества, уплату налогов на 2025 год и плановый период 2026 и 2027 годов, отраслевых корректирующих коэффициентов к базовому нормативу затрат на оказание муниципальной услуги «Реализац</w:t>
      </w:r>
      <w:r>
        <w:rPr>
          <w:sz w:val="28"/>
          <w:szCs w:val="28"/>
        </w:rPr>
        <w:t xml:space="preserve">ия основных общеобразовательных программ дошкольного образования», значений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октября 2024 г. № 1007 «О внесении изменений в размер нормативных затрат на содержание муниципального имущества, уплату налого</w:t>
      </w:r>
      <w:r>
        <w:rPr>
          <w:sz w:val="28"/>
          <w:szCs w:val="28"/>
        </w:rPr>
        <w:t xml:space="preserve">в на 2025 год и плановый период 2026 и 2027 годов, утвержденный постановлением администрации города Перми от 04.10.2024 № 829 «Об утверждении размера нормативных затрат на оказание муниципальной услуги «Реализация основных общеобразовательных программ дошк</w:t>
      </w:r>
      <w:r>
        <w:rPr>
          <w:sz w:val="28"/>
          <w:szCs w:val="28"/>
        </w:rPr>
        <w:t xml:space="preserve">ольного образования» и нормативных затрат на содержание муниципального имущества, уплату налогов на 2025 год и плановый период 2026 и 2027 годов, отраслевых корректирующих коэффициентов к базовому нормативу затрат на оказание муниципальной услуги «Реализац</w:t>
      </w:r>
      <w:r>
        <w:rPr>
          <w:sz w:val="28"/>
          <w:szCs w:val="28"/>
        </w:rPr>
        <w:t xml:space="preserve">ия основных общеобразовательных программ дошкольного образования», значений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-8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-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-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-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813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  <w:t xml:space="preserve">«Реализация основных общеобразовательных программ дошкольного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образования» 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1. Обучающиеся, за исключением обучающихся с ограниченными возможностями здоровья (ОВЗ) и детей-инвалидов, до 3 лет, очная, группа полного дня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rHeight w:val="5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2. Адаптированная образовательная программа, обучающиеся с ограниченными возможностями здоровья (ОВЗ), до 3 лет, очная, группа полного дня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/>
        <w:tc>
          <w:tcPr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8173,01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5514,94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  <w:outlineLvl w:val="1"/>
      </w:pPr>
      <w:r>
        <w:rPr>
          <w:sz w:val="28"/>
          <w:szCs w:val="28"/>
        </w:rPr>
        <w:t xml:space="preserve">3. Обучающиеся, за исключением обучающихся с ограниченными возможностями</w:t>
      </w:r>
      <w:r>
        <w:rPr>
          <w:bCs/>
          <w:sz w:val="28"/>
          <w:szCs w:val="28"/>
        </w:rPr>
        <w:t xml:space="preserve"> здоровья (ОВЗ) и детей-инвалидов, от 3 лет до 8 лет, очная, группа полного дня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 Адаптированная образовательная программа, обучающиеся с ограниченными возможностями здоровья (ОВЗ), от 3 лет до 8 лет, очная, группа полного дня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2658,07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2428,48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4091,98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7965,08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5. Обучающиеся, за исключением обучающихся с ограниченными возможностями здоровья (ОВЗ) и детей-инвалидов, до 3 лет, очная, группа кратковременного пребывания детей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14" w:lineRule="exact"/>
      </w:pPr>
      <w:r/>
      <w:r/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2724,34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1838,32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936,39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3214,73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2724,34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1838,32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936,39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3214,73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2724,34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1838,32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936,39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3214,73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6. Обучающиеся, за исключением обучающихся с ограниченными возможностями здоровья (ОВЗ) и детей-инвалидов, от 3 лет до 8 лет, очная, группа кратковременного пребывания детей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/>
        <w:tc>
          <w:tcPr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highlight w:val="yellow"/>
                <w:lang w:val="en-US"/>
              </w:rPr>
            </w:r>
            <w:r>
              <w:rPr>
                <w:sz w:val="28"/>
                <w:szCs w:val="28"/>
                <w:highlight w:val="yellow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highlight w:val="yellow"/>
                <w:lang w:val="en-US"/>
              </w:rPr>
            </w:r>
            <w:r>
              <w:rPr>
                <w:sz w:val="28"/>
                <w:szCs w:val="28"/>
                <w:highlight w:val="yellow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7. Адаптированная образовательная программа, обучающиеся с ограниченными возможностями здоровья (ОВЗ), от 3 лет до 8 лет, очная, группа кратковременного пребывания детей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/>
        <w:tc>
          <w:tcPr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76,53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1364,03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интенсивности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720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 «Реализация основных общеобразовательных программ дошкольного образования»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80"/>
        <w:gridCol w:w="3781"/>
        <w:gridCol w:w="1559"/>
        <w:gridCol w:w="1695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Уникальный 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показателя отраслевой специфики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Значение отраслевых корректирующих коэффициентов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79"/>
        <w:gridCol w:w="3781"/>
        <w:gridCol w:w="1559"/>
        <w:gridCol w:w="1695"/>
      </w:tblGrid>
      <w:tr>
        <w:tblPrEx/>
        <w:trPr>
          <w:trHeight w:val="3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801011О.99.0.БВ24ВФ62000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801011О.99.0.БВ24ВУ42000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801011О.99.0.БВ24АГ62000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801011О.99.0.БВ24АВ42000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801011О.99.0.БВ24ВФ60000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  <w:shd w:val="clear" w:color="auto" w:fill="ffffff"/>
              </w:rPr>
              <w:t xml:space="preserve">801011О.99.0.БВ24ВУ40000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801011О.99.0.БВ24АВ40000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интенсивность использования здания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содержание муниципального имущества </w:t>
      </w:r>
      <w:r>
        <w:rPr>
          <w:b/>
          <w:bCs/>
          <w:sz w:val="28"/>
          <w:szCs w:val="28"/>
        </w:rPr>
        <w:br/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3228"/>
        <w:gridCol w:w="2094"/>
        <w:gridCol w:w="1985"/>
        <w:gridCol w:w="21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3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312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4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30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6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 </w:t>
            </w:r>
            <w:r>
              <w:rPr>
                <w:sz w:val="28"/>
                <w:szCs w:val="28"/>
              </w:rPr>
              <w:br/>
              <w:t xml:space="preserve">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173 328 625,08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173 328 625,08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6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173 328 625,08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  <w:lang w:val="en-US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left="10206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 </w:t>
      </w:r>
      <w:r>
        <w:rPr>
          <w:sz w:val="28"/>
          <w:szCs w:val="28"/>
        </w:rPr>
        <w:br w:type="textWrapping" w:clear="all"/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bCs/>
          <w:sz w:val="28"/>
          <w:szCs w:val="28"/>
        </w:rPr>
        <w:br w:type="textWrapping" w:clear="all"/>
        <w:t xml:space="preserve">муниципальной услуги «Реализация основных общеобразовательных программ дошкольного образования»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обучающиеся, за исключением обучающихся с ограниченными возможностями здоровья (ОВЗ) и детей-инвалидов.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до 3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полного дня.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801011О.99.0.БВ24ВФ62000.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bCs/>
          <w:sz w:val="2"/>
        </w:rPr>
      </w:pPr>
      <w:r>
        <w:rPr>
          <w:bCs/>
          <w:sz w:val="2"/>
        </w:rPr>
      </w:r>
      <w:r>
        <w:rPr>
          <w:bCs/>
          <w:sz w:val="2"/>
        </w:rPr>
      </w:r>
      <w:r>
        <w:rPr>
          <w:bCs/>
          <w:sz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</w:t>
            </w:r>
            <w:r>
              <w:rPr>
                <w:bCs/>
                <w:sz w:val="28"/>
                <w:szCs w:val="28"/>
              </w:rPr>
              <w:br/>
              <w:t xml:space="preserve">с оказанием муниципальной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91,730651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0,515977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4,363180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right="-28"/>
              <w:jc w:val="center"/>
              <w:tabs>
                <w:tab w:val="left" w:pos="507" w:leader="none"/>
                <w:tab w:val="center" w:pos="119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47,255172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0,265785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8,858544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м/год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0,021100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0,005127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0,005329/25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0,005333/9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bCs/>
                <w:sz w:val="28"/>
                <w:szCs w:val="28"/>
              </w:rPr>
              <w:br/>
              <w:t xml:space="preserve">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0,000958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  <w:br/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0,007663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0,066667/4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1,0666671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0,066667/1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ind w:firstLine="72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01"/>
        <w:ind w:firstLine="72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01"/>
        <w:ind w:firstLine="72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01"/>
        <w:ind w:firstLine="720"/>
        <w:jc w:val="both"/>
        <w:rPr>
          <w:bCs/>
        </w:rPr>
      </w:pPr>
      <w:r>
        <w:rPr>
          <w:bCs/>
        </w:rPr>
        <w:t xml:space="preserve">2. Наименование муниципальной услуги: «Реализация основных общеобразовательных программ дошкольного образования»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  <w:shd w:val="clear" w:color="auto" w:fill="ffffff"/>
        </w:rPr>
        <w:t xml:space="preserve">Виды образовательных программ: адаптированная образовательная программа.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Категория потребителей: обучающиеся с ограниченными возможностями здоровья (ОВЗ).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Возраст обучающихся: до 3 лет.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Формы образования и формы реализации образовательных программ: очная.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Справочник периодов пребывания: группа полного дня.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  <w:t xml:space="preserve">Уникальный номер реестровой записи – 801011О.99.0.БВ24АГ62000.</w:t>
      </w:r>
      <w:r>
        <w:rPr>
          <w:bCs/>
        </w:rPr>
      </w:r>
      <w:r>
        <w:rPr>
          <w:bCs/>
        </w:rPr>
      </w:r>
    </w:p>
    <w:p>
      <w:pPr>
        <w:pStyle w:val="901"/>
        <w:ind w:left="72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/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  <w:outlineLvl w:val="2"/>
            </w:pPr>
            <w:r>
              <w:rPr>
                <w:bCs/>
                <w:spacing w:val="-2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91,730651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0,515977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4,363180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47,255172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0,265785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8,858544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0,021100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0,005127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набор корпусной мебели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0,066667/7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стол офисный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стул офисный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шкаф угловой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сейф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0,005329/25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телефонный аппарат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0,005333/5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факс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0,005333/5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унитаз (для взрослых)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0,066667/10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раковина для мытья рук (для взрослых)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0,066667/10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хозяйственный шкаф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0,005333/9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компьютер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0,066667/3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копировальный аппарат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0,005333/3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принтер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0,005333/3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0,000958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обновление справочных баз данных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проведение обязательных предварительных </w:t>
            </w:r>
            <w:r>
              <w:rPr>
                <w:bCs/>
                <w:sz w:val="28"/>
              </w:rPr>
              <w:br/>
              <w:t xml:space="preserve">и периодических медицинских осмотров (обследований) работников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0,007663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корзина для бумаг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0,066667/4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мешок хозяйственный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0,066667/1 год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утюг электрический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0,066667/5 лет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перчатки (пара)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1,0666671 год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ветошь (кг)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0,066667/1 год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обучающиеся, за исключением обучающихся с ограниченными возможностями здоровья (ОВЗ) и детей-инвалидов.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от 3 лет до 8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полного дня.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801011О.99.0.БВ24ВУ42000.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line="14" w:lineRule="exac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</w:t>
            </w:r>
            <w:r>
              <w:rPr>
                <w:bCs/>
                <w:sz w:val="28"/>
                <w:szCs w:val="28"/>
              </w:rPr>
              <w:br/>
              <w:t xml:space="preserve">с оказанием муниципальной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91,730551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0,515960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4,363180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47,255172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0,265792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8,858544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м/год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0,021097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0,005127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0,001250/10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</w:t>
            </w:r>
            <w:r>
              <w:rPr>
                <w:bCs/>
                <w:sz w:val="28"/>
                <w:szCs w:val="28"/>
              </w:rPr>
              <w:br/>
              <w:t xml:space="preserve">с физическими 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0,000958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  <w:br/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0,007663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0,100000/4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0,007345/5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Виды образовательных программ: адаптированная образовательная программа.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 с ограниченными возможностями здоровья (ОВЗ).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от 3 лет до 8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полного дня.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801011О.99.0.БВ24АВ42000.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line="14" w:lineRule="exac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</w:t>
            </w:r>
            <w:r>
              <w:rPr>
                <w:bCs/>
                <w:sz w:val="28"/>
                <w:szCs w:val="28"/>
              </w:rPr>
              <w:br/>
              <w:t xml:space="preserve">с оказанием муниципальной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91,730551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0,515960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4,363180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47,255172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0,265792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8,858544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м/год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0,021097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0,005127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0,001250/10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0,001000/3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0,000958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  <w:br/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0,007663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0,003831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0,100000/4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0,007345/5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0,050000/1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обучающиеся, за исключением обучающихся с ограниченными возможностями здоровья (ОВЗ) и детей-инвалидов.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до 3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кратковременного пребывания детей.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801011О.99.0.БВ24ВФ60000.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line="14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14" w:lineRule="exac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2"/>
            </w:pPr>
            <w:r>
              <w:rPr>
                <w:bCs/>
                <w:spacing w:val="-2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30,57688367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0,171992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1,454393333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0,000421333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0,000421333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15,751724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0,088595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2,952848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0,007033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0,000855667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0,000855667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</w:t>
            </w:r>
            <w:r>
              <w:rPr>
                <w:bCs/>
                <w:sz w:val="28"/>
                <w:szCs w:val="28"/>
              </w:rPr>
              <w:br/>
              <w:t xml:space="preserve">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0,001776/25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0,001778/5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0,001778/5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0,001778/9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0,001778/3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0,001778/3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</w:t>
            </w:r>
            <w:r>
              <w:rPr>
                <w:bCs/>
                <w:sz w:val="28"/>
                <w:szCs w:val="28"/>
              </w:rPr>
              <w:br/>
              <w:t xml:space="preserve">с физическими 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0,000319333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  <w:p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0,002554333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</w:t>
            </w:r>
            <w:r>
              <w:rPr>
                <w:bCs/>
                <w:sz w:val="28"/>
                <w:szCs w:val="28"/>
                <w:lang w:val="en-US"/>
              </w:rPr>
              <w:t xml:space="preserve">/4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</w:t>
            </w:r>
            <w:r>
              <w:rPr>
                <w:bCs/>
                <w:sz w:val="28"/>
                <w:szCs w:val="28"/>
                <w:lang w:val="en-US"/>
              </w:rPr>
              <w:t xml:space="preserve">/</w:t>
            </w:r>
            <w:r>
              <w:rPr>
                <w:bCs/>
                <w:sz w:val="28"/>
                <w:szCs w:val="28"/>
              </w:rPr>
              <w:t xml:space="preserve">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</w:t>
            </w:r>
            <w:r>
              <w:rPr>
                <w:bCs/>
                <w:sz w:val="28"/>
                <w:szCs w:val="28"/>
                <w:lang w:val="en-US"/>
              </w:rPr>
              <w:t xml:space="preserve">/</w:t>
            </w:r>
            <w:r>
              <w:rPr>
                <w:bCs/>
                <w:sz w:val="28"/>
                <w:szCs w:val="28"/>
              </w:rPr>
              <w:t xml:space="preserve">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0,355556</w:t>
            </w:r>
            <w:r>
              <w:rPr>
                <w:bCs/>
                <w:sz w:val="28"/>
                <w:szCs w:val="28"/>
                <w:lang w:val="en-US"/>
              </w:rPr>
              <w:t xml:space="preserve">/</w:t>
            </w:r>
            <w:r>
              <w:rPr>
                <w:bCs/>
                <w:sz w:val="28"/>
                <w:szCs w:val="28"/>
              </w:rPr>
              <w:t xml:space="preserve">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0,022222</w:t>
            </w:r>
            <w:r>
              <w:rPr>
                <w:bCs/>
                <w:sz w:val="28"/>
                <w:szCs w:val="28"/>
                <w:lang w:val="en-US"/>
              </w:rPr>
              <w:t xml:space="preserve">/</w:t>
            </w:r>
            <w:r>
              <w:rPr>
                <w:bCs/>
                <w:sz w:val="28"/>
                <w:szCs w:val="28"/>
              </w:rPr>
              <w:t xml:space="preserve">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обучающиеся, за исключением обучающихся с ограниченными возможностями здоровья (ОВЗ) и детей-инвалидов.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от 3 лет до 8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кратковременного пребывания детей.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801011О.99.0.БВ24ВУ40000.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line="14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14" w:lineRule="exac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  <w:outlineLvl w:val="2"/>
            </w:pPr>
            <w:r>
              <w:rPr>
                <w:bCs/>
                <w:spacing w:val="-2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30,576850</w:t>
            </w:r>
            <w:r>
              <w:rPr>
                <w:bCs/>
                <w:sz w:val="28"/>
                <w:szCs w:val="28"/>
                <w:highlight w:val="yellow"/>
                <w:lang w:val="en-US"/>
              </w:rPr>
            </w:r>
            <w:r>
              <w:rPr>
                <w:bCs/>
                <w:sz w:val="28"/>
                <w:szCs w:val="28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0,171987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1,454393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15,751724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0,088597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2,952848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0,007032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0,000417/10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</w:t>
            </w:r>
            <w:r>
              <w:rPr>
                <w:bCs/>
                <w:sz w:val="28"/>
                <w:szCs w:val="28"/>
              </w:rPr>
              <w:br/>
              <w:t xml:space="preserve">с физическими 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0,002554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0,016667/4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0,002448/5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Наименование муниципальной услуги: «Реализация основных общеобразовательных программ дошкольного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Виды образовательных программ: адаптированная образовательная программа.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Категория потребителей: обучающиеся с ограниченными возможностями здоровья (ОВЗ).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Возраст обучающихся: от 3 лет до 8 лет.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программ: очная.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Справочник периодов пребывания: группа кратковременного пребывания детей.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Уникальный номер реестровой записи – </w:t>
      </w:r>
      <w:r>
        <w:rPr>
          <w:bCs/>
          <w:sz w:val="28"/>
          <w:szCs w:val="28"/>
          <w:shd w:val="clear" w:color="auto" w:fill="ffffff"/>
        </w:rPr>
        <w:t xml:space="preserve">801011О.99.0.БВ24АВ40000.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line="14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14" w:lineRule="exac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7"/>
        <w:gridCol w:w="2375"/>
        <w:gridCol w:w="2932"/>
        <w:gridCol w:w="257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  <w:outlineLvl w:val="2"/>
            </w:pPr>
            <w:r>
              <w:rPr>
                <w:bCs/>
                <w:spacing w:val="-2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1.1. Натуральные нормы, используемые при определении затрат на иные затраты, непосредственно связанные с оказанием муниципальной услуги, в том числе затраты на оплату коммунальных услуг,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1.1.1. Натуральные нормы, используемые при определении затрат на оплату коммунальных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30,576850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0,171987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1,454393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1.1.2.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оказание муниципальных 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15,751724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0,088597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 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2,952848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0,007032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текущего ремонта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и уборка помещений зданий </w:t>
            </w:r>
            <w:r>
              <w:rPr>
                <w:bCs/>
                <w:sz w:val="28"/>
                <w:szCs w:val="28"/>
              </w:rPr>
              <w:br/>
              <w:t xml:space="preserve">и сооружений (дезинфекция и 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0,000856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камерная дезинфекция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0,001709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2.3. Натуральные нормы, используемые при определении затрат на приобретение услуг 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связь (абонентская плата и повременная оплата)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  <w:outlineLvl w:val="3"/>
            </w:pPr>
            <w:r>
              <w:rPr>
                <w:bCs/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 корпусной мебели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0,016667/7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 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 угловой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сейф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0,000333/25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унитаз (для взрослых)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раковина для мытья рук (для взрослых)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0,000417/10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хозяйственный шкаф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0,000333/9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 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0,000333/3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</w:t>
            </w:r>
            <w:r>
              <w:rPr>
                <w:bCs/>
                <w:sz w:val="28"/>
                <w:szCs w:val="28"/>
              </w:rPr>
              <w:br/>
              <w:t xml:space="preserve">с физическими и юридическими 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0,000319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обновление справочных баз 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проведение обязательных предварительных 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  <w:p>
            <w:pPr>
              <w:ind w:left="-28" w:right="-28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и периодических медицинских осмотров (обследований) работников</w:t>
            </w:r>
            <w:r>
              <w:rPr>
                <w:bCs/>
                <w:spacing w:val="-2"/>
                <w:sz w:val="28"/>
                <w:szCs w:val="28"/>
              </w:rPr>
            </w:r>
            <w:r>
              <w:rPr>
                <w:bCs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0,002554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лабораторные исследования песка на степень биологического загрязнения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0,001277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для бумаг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0,016667/4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 хозяйственный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утюг электрический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0,002448/5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 (пара)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3" w:type="pct"/>
            <w:textDirection w:val="lrTb"/>
            <w:noWrap w:val="false"/>
          </w:tcPr>
          <w:p>
            <w:pPr>
              <w:ind w:left="-28" w:right="-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ветошь (кг)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0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8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0,033333/1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6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иной метод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901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Caption Char"/>
    <w:basedOn w:val="688"/>
    <w:link w:val="749"/>
    <w:uiPriority w:val="35"/>
    <w:rPr>
      <w:b/>
      <w:bCs/>
      <w:color w:val="4f81bd" w:themeColor="accent1"/>
      <w:sz w:val="18"/>
      <w:szCs w:val="18"/>
    </w:rPr>
  </w:style>
  <w:style w:type="paragraph" w:styleId="678" w:default="1">
    <w:name w:val="Normal"/>
    <w:qFormat/>
  </w:style>
  <w:style w:type="paragraph" w:styleId="679">
    <w:name w:val="Heading 1"/>
    <w:basedOn w:val="678"/>
    <w:next w:val="67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680">
    <w:name w:val="Heading 2"/>
    <w:basedOn w:val="678"/>
    <w:next w:val="67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681">
    <w:name w:val="Heading 3"/>
    <w:basedOn w:val="678"/>
    <w:next w:val="67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uiPriority w:val="10"/>
    <w:rPr>
      <w:sz w:val="48"/>
      <w:szCs w:val="48"/>
    </w:rPr>
  </w:style>
  <w:style w:type="character" w:styleId="701" w:customStyle="1">
    <w:name w:val="Subtitle Char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Название объекта Знак"/>
    <w:link w:val="749"/>
    <w:uiPriority w:val="35"/>
    <w:rPr>
      <w:b/>
      <w:bCs/>
      <w:color w:val="4f81bd"/>
      <w:sz w:val="18"/>
      <w:szCs w:val="18"/>
    </w:rPr>
  </w:style>
  <w:style w:type="table" w:styleId="705">
    <w:name w:val="Plain Table 1"/>
    <w:basedOn w:val="68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89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89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8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8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689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14">
    <w:name w:val="Grid Table 5 Dark"/>
    <w:basedOn w:val="6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15">
    <w:name w:val="Grid Table 6 Colorful"/>
    <w:basedOn w:val="689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16">
    <w:name w:val="Grid Table 7 Colorful"/>
    <w:basedOn w:val="689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7">
    <w:name w:val="List Table 1 Light"/>
    <w:basedOn w:val="689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basedOn w:val="689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19">
    <w:name w:val="List Table 3"/>
    <w:basedOn w:val="68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"/>
    <w:basedOn w:val="68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5 Dark"/>
    <w:basedOn w:val="689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22">
    <w:name w:val="List Table 6 Colorful"/>
    <w:basedOn w:val="689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23">
    <w:name w:val="List Table 7 Colorful"/>
    <w:basedOn w:val="689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78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rPr>
      <w:lang w:eastAsia="zh-CN"/>
    </w:rPr>
  </w:style>
  <w:style w:type="paragraph" w:styleId="737">
    <w:name w:val="Title"/>
    <w:basedOn w:val="678"/>
    <w:next w:val="67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Заголовок Знак"/>
    <w:link w:val="737"/>
    <w:uiPriority w:val="10"/>
    <w:rPr>
      <w:sz w:val="48"/>
      <w:szCs w:val="48"/>
    </w:rPr>
  </w:style>
  <w:style w:type="paragraph" w:styleId="739">
    <w:name w:val="Subtitle"/>
    <w:basedOn w:val="678"/>
    <w:next w:val="67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78"/>
    <w:next w:val="67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78"/>
    <w:next w:val="67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7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78"/>
    <w:link w:val="750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78"/>
    <w:next w:val="678"/>
    <w:link w:val="70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Нижний колонтитул Знак"/>
    <w:link w:val="747"/>
    <w:uiPriority w:val="99"/>
  </w:style>
  <w:style w:type="table" w:styleId="75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7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7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78"/>
    <w:next w:val="678"/>
    <w:uiPriority w:val="39"/>
    <w:unhideWhenUsed/>
    <w:pPr>
      <w:spacing w:after="57"/>
    </w:pPr>
  </w:style>
  <w:style w:type="paragraph" w:styleId="885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6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7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8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9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90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91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92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  <w:rPr>
      <w:lang w:eastAsia="zh-CN"/>
    </w:rPr>
  </w:style>
  <w:style w:type="paragraph" w:styleId="894">
    <w:name w:val="table of figures"/>
    <w:basedOn w:val="678"/>
    <w:next w:val="678"/>
    <w:uiPriority w:val="99"/>
    <w:unhideWhenUsed/>
  </w:style>
  <w:style w:type="paragraph" w:styleId="895">
    <w:name w:val="Body Text"/>
    <w:basedOn w:val="678"/>
    <w:link w:val="902"/>
    <w:pPr>
      <w:ind w:right="3117"/>
    </w:pPr>
    <w:rPr>
      <w:rFonts w:ascii="Courier New" w:hAnsi="Courier New"/>
      <w:sz w:val="26"/>
      <w:lang w:val="en-US" w:eastAsia="en-US"/>
    </w:rPr>
  </w:style>
  <w:style w:type="paragraph" w:styleId="896">
    <w:name w:val="Body Text Indent"/>
    <w:basedOn w:val="678"/>
    <w:pPr>
      <w:ind w:right="-1"/>
      <w:jc w:val="both"/>
    </w:pPr>
    <w:rPr>
      <w:sz w:val="26"/>
    </w:rPr>
  </w:style>
  <w:style w:type="character" w:styleId="897">
    <w:name w:val="page number"/>
    <w:basedOn w:val="688"/>
  </w:style>
  <w:style w:type="paragraph" w:styleId="898">
    <w:name w:val="Balloon Text"/>
    <w:basedOn w:val="678"/>
    <w:link w:val="899"/>
    <w:rPr>
      <w:rFonts w:ascii="Segoe UI" w:hAnsi="Segoe UI"/>
      <w:sz w:val="18"/>
      <w:szCs w:val="18"/>
      <w:lang w:val="en-US" w:eastAsia="en-US"/>
    </w:rPr>
  </w:style>
  <w:style w:type="character" w:styleId="899" w:customStyle="1">
    <w:name w:val="Текст выноски Знак"/>
    <w:link w:val="898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paragraph" w:styleId="901" w:customStyle="1">
    <w:name w:val="Форма"/>
    <w:rPr>
      <w:sz w:val="28"/>
      <w:szCs w:val="28"/>
    </w:rPr>
  </w:style>
  <w:style w:type="character" w:styleId="902" w:customStyle="1">
    <w:name w:val="Основной текст Знак"/>
    <w:link w:val="895"/>
    <w:rPr>
      <w:rFonts w:ascii="Courier New" w:hAnsi="Courier New"/>
      <w:sz w:val="26"/>
    </w:rPr>
  </w:style>
  <w:style w:type="paragraph" w:styleId="903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904" w:customStyle="1">
    <w:name w:val="Стиль1"/>
    <w:basedOn w:val="689"/>
    <w:rPr>
      <w:sz w:val="28"/>
    </w:rPr>
    <w:tblPr/>
  </w:style>
  <w:style w:type="paragraph" w:styleId="905">
    <w:name w:val="Normal (Web)"/>
    <w:basedOn w:val="678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4D42-443E-463E-93E7-F0416F2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2025-10-17T06:26:00Z</dcterms:created>
  <dcterms:modified xsi:type="dcterms:W3CDTF">2025-10-17T11:52:02Z</dcterms:modified>
  <cp:version>917504</cp:version>
</cp:coreProperties>
</file>