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5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10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Перечень должностных лиц </w:t>
      </w:r>
      <w:r>
        <w:rPr>
          <w:b/>
          <w:sz w:val="28"/>
          <w:szCs w:val="28"/>
        </w:rPr>
        <w:br/>
        <w:t xml:space="preserve">функциональных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территориальных органов администрации города Перми, муниципальных учреждений города Перми, уполномоченных </w:t>
      </w:r>
      <w:r>
        <w:rPr>
          <w:b/>
          <w:sz w:val="28"/>
          <w:szCs w:val="28"/>
        </w:rPr>
        <w:br/>
        <w:t xml:space="preserve">на осуществление муниципального контроля (за исключением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муниципального финансового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контроля),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твержденн</w:t>
      </w:r>
      <w:r>
        <w:rPr>
          <w:b/>
          <w:sz w:val="28"/>
          <w:szCs w:val="28"/>
        </w:rPr>
        <w:t xml:space="preserve">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администрации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11.01.2022</w:t>
      </w:r>
      <w:r>
        <w:rPr>
          <w:b/>
          <w:sz w:val="28"/>
          <w:szCs w:val="28"/>
        </w:rPr>
        <w:t xml:space="preserve"> № 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№ 131-ФЗ «Об общих принцип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ах организации местного самоуправления в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ации»,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 </w:t>
        <w:br/>
        <w:t xml:space="preserve">№ 33-ФЗ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Уставом города Перми, </w:t>
      </w:r>
      <w:r>
        <w:rPr>
          <w:rFonts w:ascii="Times New Roman" w:hAnsi="Times New Roman" w:cs="Times New Roman"/>
          <w:sz w:val="28"/>
          <w:szCs w:val="28"/>
        </w:rPr>
        <w:t xml:space="preserve">в целях актуализации правовых актов администрации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4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 функциональных, территориальных орган</w:t>
      </w:r>
      <w:r>
        <w:rPr>
          <w:rFonts w:ascii="Times New Roman" w:hAnsi="Times New Roman" w:cs="Times New Roman"/>
          <w:sz w:val="28"/>
          <w:szCs w:val="28"/>
        </w:rPr>
        <w:t xml:space="preserve">ов администрации города Перми, муниципальных учреждений города Перми, уполномоченных на осуществление муниципального контроля (за исключением муниципального финансового контроля), утвержденный постановлением администрации города Перми от 11 января 2022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4 (в ред. от 21.02.2022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107, </w:t>
      </w:r>
      <w:r>
        <w:rPr>
          <w:rFonts w:ascii="Times New Roman" w:hAnsi="Times New Roman" w:cs="Times New Roman"/>
          <w:sz w:val="28"/>
          <w:szCs w:val="28"/>
        </w:rPr>
        <w:t xml:space="preserve">от 29.07.2022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641, от 29.09.2022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876, от 12.11.2024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1090</w:t>
      </w:r>
      <w:r>
        <w:rPr>
          <w:rFonts w:ascii="Times New Roman" w:hAnsi="Times New Roman" w:cs="Times New Roman"/>
          <w:sz w:val="28"/>
          <w:szCs w:val="28"/>
        </w:rPr>
        <w:t xml:space="preserve">, от 02.12.2024 </w:t>
        <w:br/>
      </w:r>
      <w:r>
        <w:rPr>
          <w:rFonts w:ascii="Times New Roman" w:hAnsi="Times New Roman" w:cs="Times New Roman"/>
          <w:sz w:val="28"/>
          <w:szCs w:val="28"/>
        </w:rPr>
        <w:t xml:space="preserve">№ 1161</w:t>
      </w:r>
      <w:r>
        <w:rPr>
          <w:rFonts w:ascii="Times New Roman" w:hAnsi="Times New Roman" w:cs="Times New Roman"/>
          <w:sz w:val="28"/>
          <w:szCs w:val="28"/>
        </w:rPr>
        <w:t xml:space="preserve">),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строку 4.1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5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827"/>
        <w:gridCol w:w="5380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9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коммунального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380" w:type="dxa"/>
            <w:textDirection w:val="lrTb"/>
            <w:noWrap w:val="false"/>
          </w:tcPr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жилищно-коммунального хозяйства администрации города Перми;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 жилищно-коммунального хозяйства администрации города Перми-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инспектор;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муниципального жилищного контроля-муниципальный жилищный инспектор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муниципального жилищн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контроля-муниципальный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ищный инспектор департамента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но-коммунального хозяйства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города Перми;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муниципального жилищного контроля-муниципальный жилищный инспектор департамента жилищно-коммунального хозяйства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строку 5.1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5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827"/>
        <w:gridCol w:w="5380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9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коммунального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380" w:type="dxa"/>
            <w:textDirection w:val="lrTb"/>
            <w:noWrap w:val="false"/>
          </w:tcPr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жилищно-коммунального хозяйства администрации города Перми;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 жилищно-коммунального хозяйства администрации города Перми;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развития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обязательств единых теплоснабжающих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сезонной эксплуатации управления развития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жилищно-коммунального хозяйства администрации города Перми;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контроля обязательств единых теплоснабжающих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4"/>
              <w:jc w:val="lef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сезонной эксплуатации управления развития инфраструктуры департамента 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ищно-коммунального хозяйства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</w:t>
      </w:r>
      <w:r>
        <w:rPr>
          <w:sz w:val="28"/>
          <w:szCs w:val="28"/>
        </w:rPr>
        <w:t xml:space="preserve">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</w:t>
      </w:r>
      <w:r>
        <w:rPr>
          <w:sz w:val="28"/>
          <w:szCs w:val="28"/>
        </w:rPr>
        <w:t xml:space="preserve">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</w:t>
      </w:r>
      <w:r>
        <w:rPr>
          <w:sz w:val="28"/>
          <w:szCs w:val="28"/>
        </w:rPr>
        <w:t xml:space="preserve">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</w:t>
      </w:r>
      <w:r>
        <w:rPr>
          <w:rFonts w:eastAsia="Calibri"/>
          <w:sz w:val="28"/>
          <w:szCs w:val="28"/>
        </w:rPr>
        <w:t xml:space="preserve"> Перми Балахнина А.А.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7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rPr>
      <w:lang w:eastAsia="ru-RU"/>
    </w:rPr>
  </w:style>
  <w:style w:type="paragraph" w:styleId="705">
    <w:name w:val="Heading 1"/>
    <w:basedOn w:val="704"/>
    <w:next w:val="704"/>
    <w:link w:val="733"/>
    <w:qFormat/>
    <w:pPr>
      <w:ind w:right="-1" w:firstLine="709"/>
      <w:jc w:val="both"/>
      <w:keepNext/>
      <w:outlineLvl w:val="0"/>
    </w:pPr>
    <w:rPr>
      <w:sz w:val="24"/>
    </w:rPr>
  </w:style>
  <w:style w:type="paragraph" w:styleId="706">
    <w:name w:val="Heading 2"/>
    <w:basedOn w:val="704"/>
    <w:next w:val="704"/>
    <w:link w:val="734"/>
    <w:qFormat/>
    <w:pPr>
      <w:ind w:right="-1"/>
      <w:jc w:val="both"/>
      <w:keepNext/>
      <w:outlineLvl w:val="1"/>
    </w:pPr>
    <w:rPr>
      <w:sz w:val="24"/>
    </w:rPr>
  </w:style>
  <w:style w:type="paragraph" w:styleId="707">
    <w:name w:val="Heading 3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Caption Char"/>
    <w:basedOn w:val="714"/>
    <w:uiPriority w:val="35"/>
    <w:rPr>
      <w:b/>
      <w:bCs/>
      <w:color w:val="4f81bd" w:themeColor="accent1"/>
      <w:sz w:val="18"/>
      <w:szCs w:val="18"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4">
    <w:name w:val="Title"/>
    <w:basedOn w:val="704"/>
    <w:next w:val="704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link w:val="744"/>
    <w:uiPriority w:val="10"/>
    <w:rPr>
      <w:sz w:val="48"/>
      <w:szCs w:val="48"/>
    </w:rPr>
  </w:style>
  <w:style w:type="paragraph" w:styleId="746">
    <w:name w:val="Subtitle"/>
    <w:basedOn w:val="704"/>
    <w:next w:val="704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04"/>
    <w:next w:val="704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4"/>
    <w:next w:val="704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04"/>
    <w:link w:val="907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04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04"/>
    <w:next w:val="704"/>
    <w:link w:val="75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7" w:customStyle="1">
    <w:name w:val="Название объекта Знак"/>
    <w:link w:val="756"/>
    <w:uiPriority w:val="35"/>
    <w:rPr>
      <w:b/>
      <w:bCs/>
      <w:color w:val="4f81bd" w:themeColor="accent1"/>
      <w:sz w:val="18"/>
      <w:szCs w:val="18"/>
    </w:rPr>
  </w:style>
  <w:style w:type="table" w:styleId="758">
    <w:name w:val="Table Grid"/>
    <w:basedOn w:val="71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04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04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04"/>
    <w:next w:val="704"/>
    <w:uiPriority w:val="39"/>
    <w:unhideWhenUsed/>
    <w:pPr>
      <w:spacing w:after="57"/>
    </w:pPr>
  </w:style>
  <w:style w:type="paragraph" w:styleId="892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3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4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5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6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7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8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9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04"/>
    <w:next w:val="704"/>
    <w:uiPriority w:val="99"/>
    <w:unhideWhenUsed/>
  </w:style>
  <w:style w:type="paragraph" w:styleId="902">
    <w:name w:val="Body Text"/>
    <w:basedOn w:val="704"/>
    <w:link w:val="926"/>
    <w:pPr>
      <w:ind w:right="3117"/>
    </w:pPr>
    <w:rPr>
      <w:rFonts w:ascii="Courier New" w:hAnsi="Courier New"/>
      <w:sz w:val="26"/>
    </w:rPr>
  </w:style>
  <w:style w:type="paragraph" w:styleId="903">
    <w:name w:val="Body Text Indent"/>
    <w:basedOn w:val="704"/>
    <w:pPr>
      <w:ind w:right="-1"/>
      <w:jc w:val="both"/>
    </w:pPr>
    <w:rPr>
      <w:sz w:val="26"/>
    </w:rPr>
  </w:style>
  <w:style w:type="character" w:styleId="904">
    <w:name w:val="page number"/>
    <w:basedOn w:val="714"/>
  </w:style>
  <w:style w:type="paragraph" w:styleId="905">
    <w:name w:val="Balloon Text"/>
    <w:basedOn w:val="704"/>
    <w:link w:val="906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link w:val="905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Верхний колонтитул Знак"/>
    <w:link w:val="752"/>
    <w:uiPriority w:val="99"/>
  </w:style>
  <w:style w:type="numbering" w:styleId="908" w:customStyle="1">
    <w:name w:val="Нет списка1"/>
    <w:next w:val="716"/>
    <w:uiPriority w:val="99"/>
    <w:semiHidden/>
    <w:unhideWhenUsed/>
  </w:style>
  <w:style w:type="character" w:styleId="909">
    <w:name w:val="FollowedHyperlink"/>
    <w:uiPriority w:val="99"/>
    <w:unhideWhenUsed/>
    <w:rPr>
      <w:color w:val="800080"/>
      <w:u w:val="single"/>
    </w:rPr>
  </w:style>
  <w:style w:type="paragraph" w:styleId="910" w:customStyle="1">
    <w:name w:val="xl65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6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67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 w:customStyle="1">
    <w:name w:val="xl68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69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0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71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2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3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4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5"/>
    <w:basedOn w:val="70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6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7"/>
    <w:basedOn w:val="70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8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9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Форма"/>
    <w:rPr>
      <w:sz w:val="28"/>
      <w:szCs w:val="28"/>
      <w:lang w:eastAsia="ru-RU"/>
    </w:rPr>
  </w:style>
  <w:style w:type="character" w:styleId="926" w:customStyle="1">
    <w:name w:val="Основной текст Знак"/>
    <w:link w:val="902"/>
    <w:rPr>
      <w:rFonts w:ascii="Courier New" w:hAnsi="Courier New"/>
      <w:sz w:val="26"/>
    </w:rPr>
  </w:style>
  <w:style w:type="paragraph" w:styleId="927" w:customStyle="1">
    <w:name w:val="ConsPlusNormal"/>
    <w:rPr>
      <w:sz w:val="28"/>
      <w:szCs w:val="28"/>
      <w:lang w:eastAsia="ru-RU"/>
    </w:rPr>
  </w:style>
  <w:style w:type="numbering" w:styleId="928" w:customStyle="1">
    <w:name w:val="Нет списка11"/>
    <w:next w:val="716"/>
    <w:uiPriority w:val="99"/>
    <w:semiHidden/>
    <w:unhideWhenUsed/>
  </w:style>
  <w:style w:type="numbering" w:styleId="929" w:customStyle="1">
    <w:name w:val="Нет списка111"/>
    <w:next w:val="716"/>
    <w:uiPriority w:val="99"/>
    <w:semiHidden/>
    <w:unhideWhenUsed/>
  </w:style>
  <w:style w:type="paragraph" w:styleId="930" w:customStyle="1">
    <w:name w:val="font5"/>
    <w:basedOn w:val="70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 w:customStyle="1">
    <w:name w:val="xl80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1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3" w:customStyle="1">
    <w:name w:val="xl82"/>
    <w:basedOn w:val="70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4" w:customStyle="1">
    <w:name w:val="xl83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4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5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6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7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8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89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0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1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2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93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4"/>
    <w:basedOn w:val="70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5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6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7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8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 w:customStyle="1">
    <w:name w:val="xl99"/>
    <w:basedOn w:val="70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100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1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2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3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4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5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6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7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8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9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0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1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2"/>
    <w:basedOn w:val="70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 w:customStyle="1">
    <w:name w:val="xl113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4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5"/>
    <w:basedOn w:val="70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 w:customStyle="1">
    <w:name w:val="xl116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7"/>
    <w:basedOn w:val="70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8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9"/>
    <w:basedOn w:val="70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0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1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2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3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4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5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7" w:customStyle="1">
    <w:name w:val="Нет списка2"/>
    <w:next w:val="716"/>
    <w:uiPriority w:val="99"/>
    <w:semiHidden/>
    <w:unhideWhenUsed/>
  </w:style>
  <w:style w:type="numbering" w:styleId="978" w:customStyle="1">
    <w:name w:val="Нет списка3"/>
    <w:next w:val="716"/>
    <w:uiPriority w:val="99"/>
    <w:semiHidden/>
    <w:unhideWhenUsed/>
  </w:style>
  <w:style w:type="paragraph" w:styleId="979" w:customStyle="1">
    <w:name w:val="font6"/>
    <w:basedOn w:val="70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7"/>
    <w:basedOn w:val="70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 w:customStyle="1">
    <w:name w:val="font8"/>
    <w:basedOn w:val="70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2" w:customStyle="1">
    <w:name w:val="Нет списка4"/>
    <w:next w:val="716"/>
    <w:uiPriority w:val="99"/>
    <w:semiHidden/>
    <w:unhideWhenUsed/>
  </w:style>
  <w:style w:type="character" w:styleId="983" w:customStyle="1">
    <w:name w:val="Нижний колонтитул Знак"/>
    <w:link w:val="754"/>
    <w:uiPriority w:val="99"/>
  </w:style>
  <w:style w:type="paragraph" w:styleId="984" w:customStyle="1">
    <w:name w:val="style5"/>
    <w:basedOn w:val="704"/>
    <w:pPr>
      <w:spacing w:before="100" w:beforeAutospacing="1" w:after="100" w:afterAutospacing="1"/>
    </w:pPr>
    <w:rPr>
      <w:rFonts w:ascii="Arial" w:hAnsi="Arial" w:cs="Arial"/>
    </w:rPr>
  </w:style>
  <w:style w:type="character" w:styleId="985">
    <w:name w:val="annotation reference"/>
    <w:rPr>
      <w:sz w:val="16"/>
      <w:szCs w:val="16"/>
    </w:rPr>
  </w:style>
  <w:style w:type="paragraph" w:styleId="986">
    <w:name w:val="annotation text"/>
    <w:basedOn w:val="704"/>
    <w:link w:val="987"/>
  </w:style>
  <w:style w:type="character" w:styleId="987" w:customStyle="1">
    <w:name w:val="Текст примечания Знак"/>
    <w:basedOn w:val="714"/>
    <w:link w:val="986"/>
  </w:style>
  <w:style w:type="paragraph" w:styleId="988">
    <w:name w:val="annotation subject"/>
    <w:basedOn w:val="986"/>
    <w:next w:val="986"/>
    <w:link w:val="989"/>
    <w:rPr>
      <w:b/>
      <w:bCs/>
    </w:rPr>
  </w:style>
  <w:style w:type="character" w:styleId="989" w:customStyle="1">
    <w:name w:val="Тема примечания Знак"/>
    <w:link w:val="988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</cp:revision>
  <dcterms:created xsi:type="dcterms:W3CDTF">2025-09-26T13:13:00Z</dcterms:created>
  <dcterms:modified xsi:type="dcterms:W3CDTF">2025-10-17T12:07:57Z</dcterms:modified>
  <cp:version>983040</cp:version>
</cp:coreProperties>
</file>