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66040</wp:posOffset>
                </wp:positionV>
                <wp:extent cx="6285865" cy="104838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048385"/>
                          <a:chOff x="0" y="0"/>
                          <a:chExt cx="62858" cy="1048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0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87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7365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7396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;o:allowoverlap:true;o:allowincell:true;mso-position-horizontal-relative:text;margin-left:0.60pt;mso-position-horizontal:absolute;mso-position-vertical-relative:text;margin-top:5.20pt;mso-position-vertical:absolute;width:494.95pt;height:82.55pt;mso-wrap-distance-left:9.00pt;mso-wrap-distance-top:0.00pt;mso-wrap-distance-right:9.00pt;mso-wrap-distance-bottom:0.00pt;" coordorigin="0,0" coordsize="628,104">
                <v:shape id="shape 2" o:spid="_x0000_s2" o:spt="202" type="#_x0000_t202" style="position:absolute;left:0;top:0;width:628;height:104;visibility:visible;" fillcolor="#FFFFFF" stroked="f">
                  <v:textbox inset="0,0,0,0">
                    <w:txbxContent>
                      <w:p>
                        <w:pPr>
                          <w:pStyle w:val="72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87"/>
                          <w:jc w:val="center"/>
                        </w:pPr>
                      </w:p>
                    </w:txbxContent>
                  </v:textbox>
                </v:shape>
                <v:shape id="shape 3" o:spid="_x0000_s3" o:spt="202" type="#_x0000_t202" style="position:absolute;left:25;top:73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/>
                    </w:txbxContent>
                  </v:textbox>
                </v:shape>
                <v:shape id="shape 4" o:spid="_x0000_s4" o:spt="202" type="#_x0000_t202" style="position:absolute;left:494;top:73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spacing w:line="240" w:lineRule="exact"/>
        <w:ind w:right="4820"/>
        <w:rPr>
          <w:b/>
          <w:bCs/>
        </w:rPr>
      </w:pPr>
      <w:r>
        <w:rPr>
          <w:b/>
        </w:rPr>
        <w:t xml:space="preserve">Об утверждении размера </w:t>
      </w:r>
      <w:r>
        <w:rPr>
          <w:b/>
        </w:rPr>
        <w:br w:type="textWrapping" w:clear="all"/>
        <w:t xml:space="preserve">нормативных затрат на оказание </w:t>
      </w:r>
      <w:r>
        <w:rPr>
          <w:b/>
        </w:rPr>
        <w:br w:type="textWrapping" w:clear="all"/>
        <w:t xml:space="preserve">муниципальной услуги </w:t>
      </w:r>
      <w:r>
        <w:rPr>
          <w:b/>
        </w:rPr>
        <w:br w:type="textWrapping" w:clear="all"/>
        <w:t xml:space="preserve">по реализации дополнительных </w:t>
      </w:r>
      <w:r>
        <w:rPr>
          <w:b/>
        </w:rPr>
        <w:br w:type="textWrapping" w:clear="all"/>
        <w:t xml:space="preserve">общеразвивающих программ </w:t>
      </w:r>
      <w:r>
        <w:rPr>
          <w:b/>
        </w:rPr>
        <w:br w:type="textWrapping" w:clear="all"/>
        <w:t xml:space="preserve">и нормативных затрат на содержание </w:t>
      </w:r>
      <w:r>
        <w:rPr>
          <w:b/>
        </w:rPr>
        <w:br w:type="textWrapping" w:clear="all"/>
        <w:t xml:space="preserve">муниципального имущества </w:t>
      </w:r>
      <w:r>
        <w:rPr>
          <w:b/>
        </w:rPr>
        <w:br w:type="textWrapping" w:clear="all"/>
        <w:t xml:space="preserve">на 2026 год и плановый период </w:t>
      </w:r>
      <w:r>
        <w:rPr>
          <w:b/>
          <w:bCs/>
        </w:rPr>
      </w:r>
    </w:p>
    <w:p>
      <w:pPr>
        <w:pStyle w:val="873"/>
        <w:spacing w:line="240" w:lineRule="exact"/>
        <w:ind w:right="4820"/>
        <w:rPr>
          <w:b/>
          <w:bCs/>
        </w:rPr>
      </w:pPr>
      <w:r>
        <w:rPr>
          <w:b/>
        </w:rPr>
        <w:t xml:space="preserve">2027 и 2028 годов, значений </w:t>
      </w:r>
      <w:r>
        <w:rPr>
          <w:b/>
          <w:bCs/>
        </w:rPr>
      </w:r>
    </w:p>
    <w:p>
      <w:pPr>
        <w:pStyle w:val="873"/>
        <w:spacing w:line="240" w:lineRule="exact"/>
        <w:ind w:right="4820"/>
        <w:rPr>
          <w:b/>
          <w:bCs/>
        </w:rPr>
      </w:pPr>
      <w:r>
        <w:rPr>
          <w:b/>
        </w:rPr>
        <w:t xml:space="preserve">натуральных норм, используемых </w:t>
      </w:r>
      <w:r>
        <w:rPr>
          <w:b/>
          <w:bCs/>
        </w:rPr>
      </w:r>
    </w:p>
    <w:p>
      <w:pPr>
        <w:pStyle w:val="873"/>
        <w:spacing w:line="240" w:lineRule="exact"/>
        <w:ind w:right="4820"/>
        <w:rPr>
          <w:b/>
          <w:bCs/>
        </w:rPr>
      </w:pPr>
      <w:r>
        <w:rPr>
          <w:b/>
        </w:rPr>
        <w:t xml:space="preserve">при определении базовых нормативов затрат на оказание муниципальной услуги по реализации дополнительных </w:t>
      </w:r>
      <w:r>
        <w:rPr>
          <w:b/>
        </w:rPr>
        <w:br/>
        <w:t xml:space="preserve">общеразвивающих программ, </w:t>
      </w:r>
      <w:r>
        <w:rPr>
          <w:b/>
        </w:rPr>
        <w:br/>
        <w:t xml:space="preserve">отраслевых корректирующих </w:t>
      </w:r>
      <w:r>
        <w:rPr>
          <w:b/>
        </w:rPr>
        <w:br/>
        <w:t xml:space="preserve">коэффициентов к базовому </w:t>
      </w:r>
      <w:r>
        <w:rPr>
          <w:b/>
        </w:rPr>
        <w:br/>
        <w:t xml:space="preserve">нормативу затрат на оказание </w:t>
      </w:r>
      <w:r>
        <w:rPr>
          <w:b/>
        </w:rPr>
        <w:br/>
        <w:t xml:space="preserve">муниципальной услуги </w:t>
      </w:r>
      <w:r>
        <w:rPr>
          <w:b/>
        </w:rPr>
        <w:br/>
        <w:t xml:space="preserve">по реализации дополнительных </w:t>
      </w:r>
      <w:r>
        <w:rPr>
          <w:b/>
        </w:rPr>
        <w:br/>
        <w:t xml:space="preserve">общеразвивающих программ </w:t>
      </w:r>
      <w:r>
        <w:rPr>
          <w:b/>
          <w:bCs/>
        </w:rPr>
      </w:r>
    </w:p>
    <w:p>
      <w:pPr>
        <w:spacing w:line="240" w:lineRule="exact"/>
        <w:ind w:righ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righ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br w:type="textWrapping" w:clear="all"/>
        <w:t xml:space="preserve">Федерации», от 29 декабря 2012 г. № 273-ФЗ «Об образовании в Российской </w:t>
      </w:r>
      <w:r>
        <w:rPr>
          <w:sz w:val="28"/>
          <w:szCs w:val="28"/>
        </w:rPr>
        <w:br w:type="textWrapping" w:clear="all"/>
        <w:t xml:space="preserve">Федерации», от 20 марта 2025 г. № 33-ФЗ «Об общих принципах организации местного самоуправления в единой системе публичной власти», Уставом города Перми, постановлениями администрации города Перми от 30 ноября 2007 г. </w:t>
      </w:r>
      <w:r>
        <w:rPr>
          <w:sz w:val="28"/>
          <w:szCs w:val="28"/>
        </w:rPr>
        <w:br w:type="textWrapping" w:clear="all"/>
        <w:t xml:space="preserve">№ 502 «О Порядке формирования, размещения, финансового обеспечения и контроля</w:t>
      </w:r>
      <w:r>
        <w:rPr>
          <w:sz w:val="28"/>
          <w:szCs w:val="28"/>
        </w:rPr>
        <w:t xml:space="preserve"> выполнения муниципального задания на оказание муниципальных услуг (выполнение работ)», от 08 сентября 2016 г. № 665 «Об утверждении Методики расчета нормативных затрат на оказание муниципальной услуги по реализации дополнительных общеразвивающих программ </w:t>
      </w:r>
      <w:r>
        <w:rPr>
          <w:spacing w:val="-2"/>
          <w:sz w:val="28"/>
          <w:szCs w:val="28"/>
        </w:rPr>
        <w:t xml:space="preserve">и нормативных затрат на содержание муниципального имущества»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нормативных затрат на оказание муниципальной услуги по реализации дополнительных общеразвивающих программ на 2026 год и плановый период 2027 и 2028 годов;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отраслевые корректирующие коэффициенты к базовому нормативу затрат на оказание муниципальной услуги по реализации дополнительных общеразвивающих программ;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размер нормативных затрат на содержание муниципального имущества на 2026 год и плановый период 2027 и 2028 годов;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значения натуральных норм, используемых при определении базовых нормативов затрат на оказание муниципальной услуги по реализации дополнительных общеразвивающих программ.</w:t>
      </w:r>
      <w:r>
        <w:rPr>
          <w:sz w:val="28"/>
          <w:szCs w:val="28"/>
        </w:rPr>
      </w:r>
    </w:p>
    <w:p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Признать утратившими силу постановления администрации города Перми:</w:t>
      </w:r>
      <w:r>
        <w:rPr>
          <w:spacing w:val="-2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 октября 2024 г. № 960 «Об утверждении размера нормативных затрат на оказание муниципальной услуги по ре</w:t>
      </w:r>
      <w:r>
        <w:rPr>
          <w:sz w:val="28"/>
          <w:szCs w:val="28"/>
        </w:rPr>
        <w:t xml:space="preserve">ализации дополнительных общеразвивающих программ и нормативных затрат на содержание муниципального имущества, уплату налогов на 2025 год и плановый период 2026 и 2027 годов, значений натуральных норм, используемых при определении базовых нормативов затрат </w:t>
      </w:r>
      <w:r>
        <w:rPr>
          <w:sz w:val="28"/>
          <w:szCs w:val="28"/>
        </w:rPr>
        <w:br w:type="textWrapping" w:clear="all"/>
        <w:t xml:space="preserve">на оказание муниципальной услуги по реализации дополнительных общеразвивающих программ, отраслевых корректирующих коэффициентов к базовому нормативу затрат на оказание муниципальной услуги по реализации дополнительных общеразвивающих программ»;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 ноября 2024 г. № 1146 «О внесении изменений в размер нормативных затрат на содержание муниципального имущества, уплату налогов на 2025 год </w:t>
      </w:r>
      <w:r>
        <w:rPr>
          <w:sz w:val="28"/>
          <w:szCs w:val="28"/>
        </w:rPr>
        <w:br w:type="textWrapping" w:clear="all"/>
        <w:t xml:space="preserve">и плановый период 2026 и 2027 годов, утвержденный постановлением администрации города перми от 18.10.2024 № 960 «Об утверждении размера нормативных затрат на оказание муниципальной </w:t>
      </w:r>
      <w:r>
        <w:rPr>
          <w:sz w:val="28"/>
          <w:szCs w:val="28"/>
        </w:rPr>
        <w:t xml:space="preserve">услуги по реализации дополнительных общеразвивающих программ и нормативных затрат на содержание муниципального имущества, уплату налогов на 2025 год и плановый период 2026 и 2027 годов, значений натуральных норм, используемых при определении базовых нормат</w:t>
      </w:r>
      <w:r>
        <w:rPr>
          <w:sz w:val="28"/>
          <w:szCs w:val="28"/>
        </w:rPr>
        <w:t xml:space="preserve">ивов затрат на оказание муниципальной услуги по реализации дополнительных общеразвивающих программ, отраслевых корректирующих коэффициентов к базовому нормативу затрат на оказание муниципальной услуги по реализации дополнительных общеразвивающих программ»;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08 августа 2025 г. № 540 «О внесении изменений в размер нормативных затрат на содержание муниципального имущества, уплату налогов на 2025 год </w:t>
      </w:r>
      <w:r>
        <w:rPr>
          <w:sz w:val="28"/>
          <w:szCs w:val="28"/>
        </w:rPr>
        <w:br w:type="textWrapping" w:clear="all"/>
        <w:t xml:space="preserve">и плановый период 2026 и 2027 годов, утвержденный постановлением администрации города перми от 18.10.2024 № 960 «Об утверждении размера нормативных затрат на оказание муниципальной </w:t>
      </w:r>
      <w:r>
        <w:rPr>
          <w:sz w:val="28"/>
          <w:szCs w:val="28"/>
        </w:rPr>
        <w:t xml:space="preserve">услуги по реализации дополнительных общеразвивающих программ и нормативных затрат на содержание муниципального имущества, уплату налогов на 2025 год и плановый период 2026 и 2027 годов, значений натуральных норм, используемых при определении базовых нормат</w:t>
      </w:r>
      <w:r>
        <w:rPr>
          <w:sz w:val="28"/>
          <w:szCs w:val="28"/>
        </w:rPr>
        <w:t xml:space="preserve">ивов затрат на оказание муниципальной услуги по реализации дополнительных общеразвивающих программ, отраслевых корректирующих коэффициентов к базовому нормативу затрат на оказание муниципальной услуги по реализации дополнительных общеразвивающих программ».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8080" w:leader="none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  <w:r>
        <w:rPr>
          <w:sz w:val="28"/>
          <w:szCs w:val="28"/>
        </w:rPr>
      </w:r>
    </w:p>
    <w:p>
      <w:pPr>
        <w:tabs>
          <w:tab w:val="left" w:pos="8080" w:leader="none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080" w:leader="none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080" w:leader="none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left="5670" w:firstLine="581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УУТВЕРЖДЕН</w:t>
      </w:r>
      <w:r>
        <w:rPr>
          <w:sz w:val="28"/>
          <w:szCs w:val="28"/>
        </w:rPr>
      </w:r>
    </w:p>
    <w:p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 w:type="textWrapping" w:clear="all"/>
        <w:t xml:space="preserve">города Перми </w:t>
      </w:r>
      <w:r>
        <w:rPr>
          <w:sz w:val="28"/>
          <w:szCs w:val="28"/>
        </w:rPr>
        <w:br w:type="textWrapping" w:clear="all"/>
        <w:t xml:space="preserve">от 20.10.2025 № 835</w:t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муниципальной услуги </w:t>
      </w:r>
      <w:r>
        <w:rPr>
          <w:b/>
          <w:bCs/>
          <w:sz w:val="28"/>
          <w:szCs w:val="28"/>
        </w:rPr>
        <w:br w:type="textWrapping" w:clear="all"/>
        <w:t xml:space="preserve">по реализации дополнительных общеразвивающих программ </w:t>
      </w:r>
      <w:r>
        <w:rPr>
          <w:b/>
          <w:bCs/>
          <w:sz w:val="28"/>
          <w:szCs w:val="28"/>
        </w:rPr>
        <w:br w:type="textWrapping" w:clear="all"/>
        <w:t xml:space="preserve">на 2026 год и плановый период 2027 и 2028 годов</w:t>
      </w:r>
      <w:r>
        <w:rPr>
          <w:b/>
          <w:bCs/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Физкультурно-спортивная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17,73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89,44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78,26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81,98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100,62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85,71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137,14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кадетская школа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137,14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100,62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</w:t>
            </w:r>
            <w:r>
              <w:rPr>
                <w:sz w:val="28"/>
                <w:szCs w:val="28"/>
              </w:rPr>
              <w:t xml:space="preserve">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18,37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90,20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78,93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82,69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101,48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86,45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кадетская школа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101,48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18,37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90,20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78,93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82,69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101,48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86,45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</w:t>
            </w:r>
            <w:r>
              <w:rPr>
                <w:sz w:val="28"/>
                <w:szCs w:val="28"/>
              </w:rPr>
              <w:t xml:space="preserve">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кадетская школа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101,48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Социально-педагогическая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77,74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61,21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4,41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93,29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81,63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85,51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104,95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89,40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78,38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61,21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4,41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105,81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90,14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78,38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61,21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4,41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</w:t>
            </w:r>
            <w:r>
              <w:rPr>
                <w:sz w:val="28"/>
                <w:szCs w:val="28"/>
              </w:rPr>
              <w:t xml:space="preserve">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105,81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90,14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Туристско-краеведческая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812" w:type="pct"/>
        <w:tblLook w:val="04A0" w:firstRow="1" w:lastRow="0" w:firstColumn="1" w:lastColumn="0" w:noHBand="0" w:noVBand="1"/>
      </w:tblPr>
      <w:tblGrid>
        <w:gridCol w:w="8486"/>
        <w:gridCol w:w="1646"/>
        <w:gridCol w:w="1644"/>
      </w:tblGrid>
      <w:tr>
        <w:trPr>
          <w:gridAfter w:val="1"/>
          <w:tblHeader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4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81,77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</w:t>
            </w:r>
            <w:r>
              <w:rPr>
                <w:sz w:val="28"/>
                <w:szCs w:val="28"/>
              </w:rPr>
              <w:t xml:space="preserve">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24,97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11,45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98,12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89,95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106,30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110,39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  <w:tc>
          <w:tcPr>
            <w:tcW w:w="69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72,72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82,41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98,89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90,65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107,13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111,25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  <w:tc>
          <w:tcPr>
            <w:tcW w:w="69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90,84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82,41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98,89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90,65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107,13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111,25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Естественно-научная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93,60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112,32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121,68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126,36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121,68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107,64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114,19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228,44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94,24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37,44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113,09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98,95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122,51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122,51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108,38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114,97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230,00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94,24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37,44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а также затраты на аренду указанного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а также затраты на аренду указанного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113,09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98,95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122,51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122,51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108,38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114,97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230,00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Техническая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99,38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42,58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119,26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104,35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109,32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129,19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134,16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129,19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114,29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120,25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отраслевых корректирующих коэффициентов,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учитывающих особенности реализации общеразвивающей программы в зависимости от места оказания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дополнительного образования, оказывающие услугу на базе муниципального общеобразовательного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120,25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228,79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130,03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135,03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130,03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отраслевых корректирующих коэффициентов,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учитывающих особенности реализации общеразвивающей программы в зависимости от места оказания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дополнительного образования, оказывающие услугу на базе муниципального общеобразовательного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</w:t>
            </w:r>
            <w:r>
              <w:rPr>
                <w:sz w:val="28"/>
                <w:szCs w:val="28"/>
              </w:rPr>
              <w:t xml:space="preserve">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110,02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130,03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135,03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130,03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115,02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121,02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отраслевых корректирующих коэффициентов,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учитывающих особенности реализации общеразвивающей программы в зависимости от места оказания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дополнительного образования, оказывающие услугу на базе муниципального общеобразовательного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121,02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230,27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Художественная направленность, дети, за исключением детей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 и детей-инвалидов</w:t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34"/>
        </w:trPr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105,98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64,61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7,81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41,37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27,85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</w:t>
            </w:r>
            <w:r>
              <w:rPr>
                <w:sz w:val="28"/>
                <w:szCs w:val="28"/>
              </w:rPr>
              <w:t xml:space="preserve">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127,18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116,58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137,77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137,77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121,88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128,24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229,13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106,62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64,61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7,81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42,01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27,85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127,94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111,95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138,61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143,94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138,61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122,61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129,01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230,51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106,62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64,61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56,08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7,81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42,01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27,85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отраслевых корректирующих коэффициентов, учитывающих вид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127,94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111,95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свыше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138,61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отраслевых корректирующих коэффициентов, учитывающих вид учреждения при наличии в учреждении музея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до 3 000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143,94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(с наполняемостью учреждения от 3 000 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138,61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с учетом отраслевых корректирующих коэффициентов, учитывающих </w:t>
            </w:r>
            <w:r>
              <w:rPr>
                <w:sz w:val="28"/>
                <w:szCs w:val="28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 центр (с наполняемостью учреждения от 3 000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5 000 детей)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122,61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отраслевых корректирующих коэффициентов, отражающих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общеобразовательное учреждение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129,01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230,51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Физкультурно-спортивная направленность, дети 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150,99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79,77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152,57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81,35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44,52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152,57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</w:t>
            </w:r>
            <w:r>
              <w:rPr>
                <w:sz w:val="28"/>
                <w:szCs w:val="28"/>
              </w:rPr>
              <w:t xml:space="preserve">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81,35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44,52</w:t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Социально-педагогическая направленность, дети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 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79,59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8,37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51,16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15,91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79,59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8,37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52,74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15,91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79,59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8,37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52,74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15,91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Туристско-краеведческая направленность, дети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812" w:type="pct"/>
        <w:tblLook w:val="04A0" w:firstRow="1" w:lastRow="0" w:firstColumn="1" w:lastColumn="0" w:noHBand="0" w:noVBand="1"/>
      </w:tblPr>
      <w:tblGrid>
        <w:gridCol w:w="8486"/>
        <w:gridCol w:w="1646"/>
        <w:gridCol w:w="1644"/>
      </w:tblGrid>
      <w:tr>
        <w:trPr>
          <w:gridAfter w:val="1"/>
          <w:tblHeader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4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130,75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59,53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4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61,11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  <w:tc>
          <w:tcPr>
            <w:tcW w:w="698" w:type="pct"/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61,11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blPrEx/>
        <w:tc>
          <w:tcPr>
            <w:tcW w:w="3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Естественно-научная направленность, дети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229,97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232,75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132,33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61,11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а также затраты на аренду указанного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а также затраты на аренду указанного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232,75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Техническая направленность, дети 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181,36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110,14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231,09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182,94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233,10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182,94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71,22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111,72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74,89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технической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233,10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Художественная направленность, дети</w:t>
      </w:r>
      <w:r>
        <w:rPr>
          <w:b/>
          <w:bCs/>
          <w:sz w:val="28"/>
          <w:szCs w:val="28"/>
        </w:rPr>
        <w:br w:type="textWrapping" w:clear="all"/>
        <w:t xml:space="preserve">с ограниченными возможностями здоровья (ОВЗ)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1645"/>
      </w:tblGrid>
      <w:tr>
        <w:trPr>
          <w:tblHeader/>
        </w:trPr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171,23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включая страховые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взносы в Фонд пенсионного и социального страхования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Российской Федерации и Федеральный фонд обязательного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91,95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27,17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56,70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230,90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172,81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56,70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233,03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172,81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79,28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 пенси</w:t>
            </w:r>
            <w:r>
              <w:rPr>
                <w:sz w:val="28"/>
                <w:szCs w:val="28"/>
              </w:rPr>
              <w:t xml:space="preserve">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70,30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0,92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0,31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8,06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93,53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28,75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56,70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наличия современного высокотехнологичного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233,03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p>
      <w:pPr>
        <w:outlineLvl w:val="0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left="992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 w:type="textWrapping" w:clear="all"/>
        <w:t xml:space="preserve">города Перми </w:t>
      </w:r>
      <w:r>
        <w:rPr>
          <w:sz w:val="28"/>
          <w:szCs w:val="28"/>
        </w:rPr>
      </w:r>
    </w:p>
    <w:p>
      <w:pPr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20.10.2025 № 835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ОТРАСЛЕВЫЕ КОРРЕКТИРУЮЩИЕ КОЭФФИЦИЕНТЫ</w:t>
      </w:r>
      <w:r>
        <w:rPr>
          <w:b/>
          <w:bCs/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базовому нормативу затрат на оказание муниципальной услуги </w:t>
      </w:r>
      <w:r>
        <w:rPr>
          <w:b/>
          <w:bCs/>
          <w:sz w:val="28"/>
          <w:szCs w:val="28"/>
        </w:rPr>
        <w:br w:type="textWrapping" w:clear="all"/>
        <w:t xml:space="preserve">по реализации дополнительных общеразвивающих программ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2128"/>
        <w:gridCol w:w="1701"/>
        <w:gridCol w:w="567"/>
        <w:gridCol w:w="567"/>
        <w:gridCol w:w="567"/>
        <w:gridCol w:w="567"/>
        <w:gridCol w:w="708"/>
        <w:gridCol w:w="851"/>
        <w:gridCol w:w="709"/>
        <w:gridCol w:w="1842"/>
        <w:gridCol w:w="1134"/>
        <w:gridCol w:w="1418"/>
        <w:gridCol w:w="1276"/>
      </w:tblGrid>
      <w:tr>
        <w:trPr>
          <w:trHeight w:val="230"/>
        </w:trPr>
        <w:tblPrEx/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 xml:space="preserve">Наименование муниципальной услуги</w:t>
            </w:r>
            <w:r>
              <w:rPr>
                <w:spacing w:val="-4"/>
              </w:rPr>
            </w: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 xml:space="preserve">Уникальный номер реестровой записи</w:t>
            </w:r>
            <w:r>
              <w:rPr>
                <w:spacing w:val="-4"/>
              </w:rPr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Наименование</w:t>
            </w:r>
            <w:r>
              <w:rPr>
                <w:spacing w:val="-4"/>
              </w:rPr>
            </w:r>
          </w:p>
          <w:p>
            <w:pPr>
              <w:ind w:lef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показателя отраслевой специфики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901" w:leader="none"/>
              </w:tabs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9639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1901" w:leader="none"/>
              </w:tabs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Значение отраслевых корректирующих коэффициентов</w:t>
            </w:r>
            <w:r>
              <w:rPr>
                <w:spacing w:val="-4"/>
              </w:rPr>
            </w:r>
          </w:p>
        </w:tc>
      </w:tr>
      <w:tr>
        <w:trPr>
          <w:trHeight w:val="230"/>
        </w:trPr>
        <w:tblPrEx/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дворец</w:t>
            </w:r>
            <w:r>
              <w:rPr>
                <w:spacing w:val="-4"/>
              </w:rPr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центр (с наполняемостью учреждения)</w:t>
            </w:r>
            <w:r>
              <w:rPr>
                <w:spacing w:val="-4"/>
              </w:rPr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кадетская школа</w:t>
            </w:r>
            <w:r>
              <w:rPr>
                <w:spacing w:val="-4"/>
              </w:rPr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общеобразовательные учреждения</w:t>
            </w:r>
            <w:r>
              <w:rPr>
                <w:spacing w:val="-4"/>
              </w:rPr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спортивная школа</w:t>
            </w:r>
            <w:r>
              <w:rPr>
                <w:spacing w:val="-4"/>
              </w:rPr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муниципальные учреждения дополнительного образования, оказывающие услугу на базе муниципального общеобразовательного учреждения города Перми</w:t>
            </w:r>
            <w:r>
              <w:rPr>
                <w:spacing w:val="-4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08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при наличии в учреждении высокотехнологичного оборудования технической направленности</w:t>
            </w:r>
            <w:r>
              <w:rPr>
                <w:spacing w:val="-4"/>
              </w:rPr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учреждения при наличии в учреждении высокотехнологичного оборудования естественно-научной направленности</w:t>
            </w:r>
            <w:r>
              <w:rPr>
                <w:spacing w:val="-4"/>
              </w:rPr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учреждения при наличии в учреждении высокотехнологичного оборудования художественной направленности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2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до </w:t>
            </w:r>
            <w:r>
              <w:rPr>
                <w:spacing w:val="-4"/>
                <w:sz w:val="12"/>
                <w:szCs w:val="12"/>
              </w:rPr>
              <w:br w:type="textWrapping" w:clear="all"/>
              <w:t xml:space="preserve">3 000 детей</w:t>
            </w:r>
            <w:r>
              <w:rPr>
                <w:spacing w:val="-4"/>
                <w:sz w:val="12"/>
                <w:szCs w:val="12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от </w:t>
            </w:r>
            <w:r>
              <w:rPr>
                <w:spacing w:val="-4"/>
                <w:sz w:val="12"/>
                <w:szCs w:val="12"/>
              </w:rPr>
              <w:br w:type="textWrapping" w:clear="all"/>
              <w:t xml:space="preserve">3 000</w:t>
            </w:r>
            <w:r>
              <w:rPr>
                <w:spacing w:val="-4"/>
                <w:sz w:val="12"/>
                <w:szCs w:val="12"/>
              </w:rPr>
              <w:br w:type="textWrapping" w:clear="all"/>
              <w:t xml:space="preserve">до</w:t>
            </w:r>
            <w:r>
              <w:rPr>
                <w:spacing w:val="-4"/>
                <w:sz w:val="12"/>
                <w:szCs w:val="12"/>
              </w:rPr>
              <w:br w:type="textWrapping" w:clear="all"/>
              <w:t xml:space="preserve">5 000 детей</w:t>
            </w:r>
            <w:r>
              <w:rPr>
                <w:spacing w:val="-4"/>
                <w:sz w:val="12"/>
                <w:szCs w:val="12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14" w:right="-57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свыше </w:t>
            </w:r>
            <w:r>
              <w:rPr>
                <w:spacing w:val="-4"/>
                <w:sz w:val="12"/>
                <w:szCs w:val="12"/>
              </w:rPr>
            </w:r>
          </w:p>
          <w:p>
            <w:pPr>
              <w:ind w:left="-114" w:right="-57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5 000 детей</w:t>
            </w:r>
            <w:r>
              <w:rPr>
                <w:spacing w:val="-4"/>
                <w:sz w:val="12"/>
                <w:szCs w:val="12"/>
              </w:rPr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14" w:right="-57"/>
              <w:jc w:val="center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</w:tbl>
    <w:p>
      <w:pPr>
        <w:spacing w:line="20" w:lineRule="exact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0" w:lineRule="exact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16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128"/>
        <w:gridCol w:w="1701"/>
        <w:gridCol w:w="567"/>
        <w:gridCol w:w="567"/>
        <w:gridCol w:w="567"/>
        <w:gridCol w:w="567"/>
        <w:gridCol w:w="708"/>
        <w:gridCol w:w="851"/>
        <w:gridCol w:w="709"/>
        <w:gridCol w:w="1842"/>
        <w:gridCol w:w="1134"/>
        <w:gridCol w:w="1418"/>
        <w:gridCol w:w="1276"/>
      </w:tblGrid>
      <w:tr>
        <w:trPr>
          <w:tblHeader/>
        </w:trPr>
        <w:tblPrEx/>
        <w:tc>
          <w:tcPr>
            <w:tcW w:w="1133" w:type="dxa"/>
            <w:noWrap w:val="false"/>
            <w:textDirection w:val="lrTb"/>
          </w:tcPr>
          <w:p>
            <w:pPr>
              <w:ind w:left="-57" w:right="-57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 xml:space="preserve">1</w:t>
            </w:r>
            <w:r>
              <w:rPr>
                <w:spacing w:val="-4"/>
              </w:rPr>
            </w:r>
          </w:p>
        </w:tc>
        <w:tc>
          <w:tcPr>
            <w:tcW w:w="2128" w:type="dxa"/>
            <w:noWrap w:val="false"/>
            <w:textDirection w:val="lrTb"/>
          </w:tcPr>
          <w:p>
            <w:pPr>
              <w:ind w:left="-57" w:right="-57"/>
              <w:jc w:val="center"/>
              <w:outlineLvl w:val="0"/>
              <w:rPr>
                <w:spacing w:val="-4"/>
              </w:rPr>
            </w:pPr>
            <w:r>
              <w:rPr>
                <w:spacing w:val="-4"/>
              </w:rPr>
              <w:t xml:space="preserve">2</w:t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3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4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99" w:right="-57" w:firstLine="42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6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7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8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9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10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11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12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13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14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restart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</w:p>
        </w:tc>
        <w:tc>
          <w:tcPr>
            <w:tcW w:w="2128" w:type="dxa"/>
            <w:vMerge w:val="restart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52АЗ20000</w:t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отражающие особенности реализации общеразвивающей программы в зависимости от места обучения – муниципальные </w:t>
            </w:r>
            <w:r>
              <w:rPr>
                <w:spacing w:val="-4"/>
              </w:rPr>
              <w:t xml:space="preserve">общеобразовательные учреждения города Перми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1,84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1,84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restart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</w:p>
        </w:tc>
        <w:tc>
          <w:tcPr>
            <w:tcW w:w="2128" w:type="dxa"/>
            <w:vMerge w:val="restart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52АЗ92000</w:t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restart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</w:p>
        </w:tc>
        <w:tc>
          <w:tcPr>
            <w:tcW w:w="2128" w:type="dxa"/>
            <w:vMerge w:val="restart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52АЗ68000</w:t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restart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</w:t>
            </w:r>
            <w:r>
              <w:rPr>
                <w:bCs/>
                <w:spacing w:val="-4"/>
              </w:rPr>
              <w:t xml:space="preserve">дополнительных общеразвивающих программ</w:t>
            </w:r>
            <w:r>
              <w:rPr>
                <w:spacing w:val="-4"/>
              </w:rPr>
            </w:r>
          </w:p>
        </w:tc>
        <w:tc>
          <w:tcPr>
            <w:tcW w:w="2128" w:type="dxa"/>
            <w:vMerge w:val="restart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52АЖ9</w:t>
            </w:r>
            <w:r>
              <w:rPr>
                <w:spacing w:val="-4"/>
                <w:shd w:val="clear" w:color="auto" w:fill="ffffff"/>
              </w:rPr>
              <w:t xml:space="preserve">6000</w:t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отражающие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1,22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2,4406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restart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spacing w:val="-4"/>
              </w:rPr>
            </w:r>
          </w:p>
        </w:tc>
        <w:tc>
          <w:tcPr>
            <w:tcW w:w="2128" w:type="dxa"/>
            <w:vMerge w:val="restart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52АЖ72000</w:t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отражающие особенности реализации общеразвивающей программы в зависимости от </w:t>
            </w:r>
            <w:r>
              <w:rPr>
                <w:spacing w:val="-4"/>
              </w:rPr>
              <w:t xml:space="preserve">места обучения – муниципальные общеобразовательные учреждения города Перми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1,21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особенности реализации общеразвивающей программы в зависимости от места оказания услуги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1,21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2,3022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restart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vMerge w:val="restart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52АЗ44000</w:t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1,05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музея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1,30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вид учреждения при наличии в учреждении спорткомплекса и/или спортивной площадки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1,15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отражающие особенности реализации общеразвивающей программы в зависимости от места обучения – муниципальные общеобразовательные учреждения города Перми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1,21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vMerge w:val="continue"/>
            <w:noWrap w:val="false"/>
            <w:textDirection w:val="lrTb"/>
          </w:tcPr>
          <w:p>
            <w:pPr>
              <w:ind w:left="-57" w:right="-57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</w:r>
            <w:r>
              <w:rPr>
                <w:b/>
                <w:bCs/>
                <w:spacing w:val="-4"/>
              </w:rPr>
            </w:r>
          </w:p>
        </w:tc>
        <w:tc>
          <w:tcPr>
            <w:tcW w:w="2128" w:type="dxa"/>
            <w:vMerge w:val="continue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</w:t>
            </w:r>
            <w:r>
              <w:rPr>
                <w:spacing w:val="-4"/>
              </w:rPr>
              <w:t xml:space="preserve">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2,162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52АО92000</w:t>
            </w:r>
            <w:r>
              <w:rPr>
                <w:spacing w:val="-4"/>
              </w:rPr>
            </w:r>
          </w:p>
        </w:tc>
        <w:tc>
          <w:tcPr>
            <w:tcW w:w="1701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52АП64000</w:t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52АП40000</w:t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52АО68000</w:t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1,75885</w:t>
            </w:r>
            <w:r>
              <w:rPr>
                <w:spacing w:val="-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52АО44000</w:t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1,2742</w:t>
            </w:r>
            <w:r>
              <w:rPr>
                <w:spacing w:val="-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</w:tr>
      <w:tr>
        <w:trPr/>
        <w:tblPrEx/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Реализация дополнительных общеразвивающих программ</w:t>
            </w:r>
            <w:r>
              <w:rPr>
                <w:bCs/>
                <w:spacing w:val="-4"/>
              </w:rPr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 xml:space="preserve">804200О.99.</w:t>
            </w:r>
            <w:r>
              <w:rPr>
                <w:spacing w:val="-4"/>
                <w:shd w:val="clear" w:color="auto" w:fill="ffffff"/>
              </w:rPr>
              <w:t xml:space="preserve">0.ББ</w:t>
            </w:r>
            <w:r>
              <w:rPr>
                <w:spacing w:val="-4"/>
                <w:shd w:val="clear" w:color="auto" w:fill="ffffff"/>
              </w:rPr>
              <w:t xml:space="preserve">52АП16000</w:t>
            </w:r>
            <w:r>
              <w:rPr>
                <w:spacing w:val="-4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учитывающие наличие современного высокотехнологичного оборудования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bottom w:w="0" w:type="dxa"/>
            </w:tcMar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-</w:t>
            </w:r>
            <w:r>
              <w:rPr>
                <w:spacing w:val="-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1,3485</w:t>
            </w:r>
            <w:r>
              <w:rPr>
                <w:spacing w:val="-4"/>
              </w:rPr>
            </w:r>
          </w:p>
        </w:tc>
      </w:tr>
    </w:tbl>
    <w:p>
      <w:pPr>
        <w:spacing w:line="240" w:lineRule="exact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footnotePr/>
          <w:endnotePr/>
          <w:type w:val="nextPage"/>
          <w:pgSz w:w="16820" w:h="11900" w:orient="landscape"/>
          <w:pgMar w:top="1134" w:right="567" w:bottom="1134" w:left="1418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left="5670" w:firstLine="581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УУТВЕРЖДЕН</w:t>
      </w:r>
      <w:r>
        <w:rPr>
          <w:sz w:val="28"/>
          <w:szCs w:val="28"/>
        </w:rPr>
      </w:r>
    </w:p>
    <w:p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</w:p>
    <w:p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20.10.2025 № 835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  <w:br w:type="textWrapping" w:clear="all"/>
        <w:t xml:space="preserve">нормативных затрат на содержание муниципального </w:t>
      </w:r>
      <w:r>
        <w:rPr>
          <w:b/>
          <w:bCs/>
          <w:sz w:val="28"/>
          <w:szCs w:val="28"/>
        </w:rPr>
        <w:br w:type="textWrapping" w:clear="all"/>
        <w:t xml:space="preserve">имущества на 2026 год и плановый период 2027 и 2028 годов</w:t>
      </w:r>
      <w:r>
        <w:rPr>
          <w:b/>
          <w:bCs/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"/>
        <w:gridCol w:w="3990"/>
        <w:gridCol w:w="1868"/>
        <w:gridCol w:w="1868"/>
        <w:gridCol w:w="1868"/>
      </w:tblGrid>
      <w:tr>
        <w:trPr/>
        <w:tblPrEx/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27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21"/>
        </w:trPr>
        <w:tblPrEx/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13"/>
        </w:trPr>
        <w:tblPrEx/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13"/>
        </w:trPr>
        <w:tblPrEx/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</w:t>
            </w:r>
            <w:r>
              <w:rPr>
                <w:sz w:val="28"/>
                <w:szCs w:val="28"/>
              </w:rPr>
              <w:br w:type="textWrapping" w:clear="all"/>
              <w:t xml:space="preserve">муниципального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10 932 353,16</w:t>
            </w:r>
            <w:r>
              <w:rPr>
                <w:sz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10 932 353,16</w:t>
            </w:r>
            <w:r>
              <w:rPr>
                <w:sz w:val="28"/>
              </w:rPr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10 932 353,16</w:t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firstLine="5812"/>
        <w:outlineLvl w:val="0"/>
        <w:rPr>
          <w:sz w:val="28"/>
          <w:szCs w:val="28"/>
        </w:rPr>
        <w:sectPr>
          <w:headerReference w:type="first" r:id="rId10"/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ind w:left="992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 w:type="textWrapping" w:clear="all"/>
        <w:t xml:space="preserve">города Перми</w:t>
      </w:r>
      <w:r>
        <w:rPr>
          <w:sz w:val="28"/>
          <w:szCs w:val="28"/>
        </w:rPr>
        <w:br w:type="textWrapping" w:clear="all"/>
        <w:t xml:space="preserve">от </w:t>
      </w:r>
      <w:r>
        <w:rPr>
          <w:sz w:val="28"/>
          <w:szCs w:val="28"/>
        </w:rPr>
        <w:t xml:space="preserve">20.10.2025 № 835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</w:p>
    <w:p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используемых при определении базовых нормативов затрат </w:t>
      </w:r>
      <w:r>
        <w:rPr>
          <w:b/>
          <w:bCs/>
          <w:sz w:val="28"/>
          <w:szCs w:val="28"/>
        </w:rPr>
        <w:br w:type="textWrapping" w:clear="all"/>
        <w:t xml:space="preserve">на оказание муниципальной услуги по реализации дополнительных общеразвивающих программ </w:t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физкультурно-спортивная.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за исключением детей с ограниченными возможностями здоровья (ОВЗ) и детей-инвалидов.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52АЗ20000.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0,00006001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0,00002690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</w:t>
            </w:r>
            <w:r>
              <w:rPr>
                <w:sz w:val="28"/>
                <w:szCs w:val="28"/>
              </w:rPr>
              <w:t xml:space="preserve">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</w:t>
            </w:r>
            <w:r>
              <w:rPr>
                <w:sz w:val="28"/>
                <w:szCs w:val="28"/>
              </w:rPr>
              <w:t xml:space="preserve">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 гимнастический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гантелей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эспандер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барьер легкоатлетический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0,00012563/5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обруч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0,00012563/3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шведская стенка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0,00002513/3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скамейка гимнастическая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0,00002513/3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гимнастическое бревно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0,00002513/3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гимнастический снаряд «конь»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0,00002513/3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0,00005025/3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консоль для канатов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0,00002513/3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мостик гимнастический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0,00002513/3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мягкой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0,00003104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социально-педагогическая. 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за исключением детей с ограниченными возможностями здоровья (ОВЗ) и детей-инвалидов.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52АЗ92000.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0,00006001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0,00002690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стержень для ручки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карандаш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ластик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файл-папка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папка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тетрадь общая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маркеров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0,00366905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степлер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0,00366905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скобы для степлера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0,00458631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иных затрат, непосредств</w:t>
            </w:r>
            <w:r>
              <w:rPr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мягкой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0,00003104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туристско-краеведческая.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за исключением детей с ограниченными возможностями здоровья (ОВЗ) и детей-инвалидов.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52АЗ680000.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0,00006001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0,00002690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палатка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спальный мешок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фонарик кемпинговый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канат пеньковый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0,05393445/3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компас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бинокль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туристической посуды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0,00023049/1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мягкой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0,00003104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естественно-научная.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за исключением детей с ограниченными возможностями здоровья (ОВЗ) и детей-инвалидов.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52АЖ960000.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0,00006001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0,00002690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недвижимого имущества </w:t>
            </w:r>
            <w:r>
              <w:rPr>
                <w:sz w:val="28"/>
                <w:szCs w:val="28"/>
              </w:rPr>
              <w:br w:type="textWrapping" w:clear="all"/>
              <w:t xml:space="preserve">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мерных колб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0,00126678/3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палочка стеклянная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пипеток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0,00063339/1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вытяжной шкаф лабораторный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0,00025336/5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пробирка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спиртовка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штатив демонстрационный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0,00126678/3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микроскоп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барометр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манометр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гигрометр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технические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0,00063339/3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цифровой датчик тока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0,00063339/5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0,00063339/3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насос вакуумный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0,00050671/5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машина волновая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0,00038004/3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мягкой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0,00003104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техническая.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за исключением детей с ограниченными возможностями здоровья (ОВЗ) и детей-инвалидов.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52АЖ720000.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0,00006001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0,00002690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недвижимого имущества </w:t>
            </w:r>
            <w:r>
              <w:rPr>
                <w:sz w:val="28"/>
                <w:szCs w:val="28"/>
              </w:rPr>
              <w:br w:type="textWrapping" w:clear="all"/>
              <w:t xml:space="preserve">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3d принтер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0,00020456/3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3d сканер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0,00020456/3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радиоаппаратура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0,00051140/5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моделей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0,00051140/3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стеклотекстолит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0,00051140/3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аппаратура управления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0,00051140/10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0,00051140/10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 управления трассой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0,00051140/10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станок деревообрабатывающий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0,00061369/10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радиомоторы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0,00051140/10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мягкой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0,00003104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художественная. 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за исключением детей с ограниченными возможностями здоровья (ОВЗ) и детей-инвалидов.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52АЗ44000.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</w:t>
            </w:r>
            <w:r>
              <w:rPr>
                <w:sz w:val="28"/>
                <w:szCs w:val="28"/>
              </w:rPr>
              <w:t xml:space="preserve">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</w:t>
            </w:r>
            <w:r>
              <w:rPr>
                <w:sz w:val="28"/>
                <w:szCs w:val="28"/>
              </w:rPr>
              <w:t xml:space="preserve">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</w:t>
            </w:r>
            <w:r>
              <w:rPr>
                <w:sz w:val="28"/>
                <w:szCs w:val="28"/>
              </w:rPr>
              <w:t xml:space="preserve">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0,00006001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0,00002690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краски акварельные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гуашь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ватман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бумага акварельная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палитра обыкновенная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акварельных карандашей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ножницы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скульптурный пластилин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0,00147789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для лепки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полимерная глина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0,00147789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угольных мелков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сангины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ткань для </w:t>
            </w:r>
            <w:r>
              <w:rPr>
                <w:sz w:val="28"/>
                <w:szCs w:val="28"/>
              </w:rPr>
              <w:t xml:space="preserve">драперовки</w:t>
            </w:r>
            <w:r>
              <w:rPr>
                <w:sz w:val="28"/>
                <w:szCs w:val="28"/>
              </w:rPr>
              <w:t xml:space="preserve"> 1 </w:t>
            </w:r>
            <w:r>
              <w:rPr>
                <w:sz w:val="28"/>
                <w:szCs w:val="28"/>
              </w:rPr>
              <w:t xml:space="preserve">м.п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кистей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кнопок канцелярских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скотч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ластик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картон цветной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бумага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0,00221684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пленки для рисования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шт.</w:t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иной метод</w:t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недвижимого имущества </w:t>
            </w:r>
            <w:r>
              <w:rPr>
                <w:sz w:val="28"/>
                <w:szCs w:val="28"/>
              </w:rPr>
              <w:br w:type="textWrapping" w:clear="all"/>
              <w:t xml:space="preserve">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</w:t>
            </w:r>
            <w:r>
              <w:rPr>
                <w:sz w:val="28"/>
                <w:szCs w:val="28"/>
              </w:rPr>
              <w:t xml:space="preserve">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</w:t>
            </w:r>
            <w:r>
              <w:rPr>
                <w:sz w:val="28"/>
                <w:szCs w:val="28"/>
              </w:rPr>
              <w:t xml:space="preserve">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мольберт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геометрических фигур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дополнительное настольное освещение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печь для обжига глины (керамики)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0,00001478/5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фортепьяно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0,00000739/5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ящик для художника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светильник-мольберт выставочный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стенд-стеллаж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0,00002217/5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шумовых инструментов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палитра-подставка для кистей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резцов по дереву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0,00018474/5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паста-машина для раскатывания полимерной глины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0,00001108/5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 демонстрационный учебный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0,00001847/5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станок скульптурный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0,00011084/5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ксилофон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0,00000369/5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мягкой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0,00003104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физкультурно-спортивная.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с ограниченными возможностями здоровья (ОВЗ).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52АО92000.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</w:t>
            </w:r>
            <w:r>
              <w:rPr>
                <w:sz w:val="28"/>
                <w:szCs w:val="28"/>
              </w:rPr>
              <w:t xml:space="preserve">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0,00002483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недвижимого имущества </w:t>
            </w:r>
            <w:r>
              <w:rPr>
                <w:sz w:val="28"/>
                <w:szCs w:val="28"/>
              </w:rPr>
              <w:br w:type="textWrapping" w:clear="all"/>
              <w:t xml:space="preserve">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0,00000106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</w:t>
            </w:r>
            <w:r>
              <w:rPr>
                <w:sz w:val="28"/>
                <w:szCs w:val="28"/>
              </w:rPr>
              <w:t xml:space="preserve">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0,00000515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структурного подразделения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автобуса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 гимнастический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0,00050251/2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гантелей 1,5 кг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0,00037688/3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гантелей в кейсе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0,00037688/3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эспандер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0,00050251/1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барьер легкоатлетический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обручи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0,00050251/1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шведская стенка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скамейка гимнастическая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гимнастическое бревно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брусья гимнастические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0,00037688/2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гимнастический снаряд «конь»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гимнастический снаряд «перекладина»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консоль для канатов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мостик гимнастический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скакалка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0,00050251/1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 балансировочный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0,00050251/1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мячей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0,00003769/2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сетка волейбольная с антеннами – комплект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0,00003769/2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0,00050251/1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 футбольный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0,00050251/1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 волейбольный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0,00050251/1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крепления лыжные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лыжи беговые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палки для лыжных гонок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ботинки лыжные универсальные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велотренажер с регулировкой уровня нагрузки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0,00018844/4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тренажер для разработки верхних и нижних конечностей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0,00018844/1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дуги для </w:t>
            </w:r>
            <w:r>
              <w:rPr>
                <w:sz w:val="28"/>
                <w:szCs w:val="28"/>
              </w:rPr>
              <w:t xml:space="preserve">подлезания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шахматный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шахматная с фигурами шахматными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 для настольного тенниса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0,00012563/1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ракетка для настольного тенниса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теннисный стол с сеткой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тренажер для настольного тенниса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0,00025126/2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станок хореографический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0,00012563/5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гимнастический куб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0,00018844/3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доска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для проектора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лестничный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мнемосхема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вывеска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тактильные таблички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вызова персонала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0,00008277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антибактериальное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0,00051734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0,00024832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холстопрошивное полотно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чистящее средство для сантехники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бумажные полотенца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0,00103468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туалетной бумаги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бумажных полотенец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жидкого мыла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топливо для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0,00114540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социально-педагогическая. 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с ограниченными возможностями здоровья (ОВЗ).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52АП64000.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0,00002483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ручка шариковая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ручка гелевая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0,01100695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стержень для гелевой ручки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стержень для шариковой ручки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карандаш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ластик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файл - папка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папка - регистратор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0,00275179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папка скоросшиватель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тетрадь общая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маркеров для доски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</w:t>
            </w:r>
            <w:r>
              <w:rPr>
                <w:sz w:val="28"/>
                <w:szCs w:val="28"/>
              </w:rPr>
              <w:t xml:space="preserve">текстовыделителей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дырокол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0,00100899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люверсы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0,00275179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степлер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0,00100899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скобы для степлера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0,00550358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0,01100715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недвижимого имущества </w:t>
            </w:r>
            <w:r>
              <w:rPr>
                <w:sz w:val="28"/>
                <w:szCs w:val="28"/>
              </w:rPr>
              <w:br w:type="textWrapping" w:clear="all"/>
              <w:t xml:space="preserve">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</w:t>
            </w:r>
            <w:r>
              <w:rPr>
                <w:sz w:val="28"/>
                <w:szCs w:val="28"/>
              </w:rPr>
              <w:t xml:space="preserve">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0,00000106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0,00000515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59"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структурного подразделения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автобуса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доска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для проектора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лестничный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мнемосхема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вывеска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тактильные таблички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вызова персонала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0,00008277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антибактериальное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0,00051734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0,00024832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холстопрошивное полотно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чистящее средство для сантехники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бумажные полотенца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0,00103468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туалетной бумаги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бумажных полотенец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жидкого мыла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топливо для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0,00114540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туристско-краеведческая.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с ограниченными возможностями здоровья (ОВЗ).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52АП400000.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0,00002483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недвижимого имущества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0,00000106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0,00000515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структурного подразделения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автобуса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палатка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спальный мешок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фонарь кемпинговый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фонарик налобный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</w:t>
            </w:r>
            <w:r>
              <w:rPr>
                <w:sz w:val="28"/>
                <w:szCs w:val="28"/>
              </w:rPr>
              <w:t xml:space="preserve">самонадувающийся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рюкзак походный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канат пеньковый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0,05531738/3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компас-курвиметр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бинокль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складной нож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0,00184391/1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туристической посуды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0,00023049/1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доска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для проектора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лестничный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мнемосхема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вывеска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тактильные таблички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вызова персонала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0,00008277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антибактериальное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0,00051734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0,00024832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холстопрошивное полотно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чистящее средство для сантехники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бумажные полотенца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0,00103468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туалетной бумаги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бумажных полотенец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жидкого мыла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топливо для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0,00114540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естественно-научная.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с ограниченными возможностями здоровья (ОВЗ).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52АО680000.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0,00002483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недвижимого имущества </w:t>
            </w:r>
            <w:r>
              <w:rPr>
                <w:sz w:val="28"/>
                <w:szCs w:val="28"/>
              </w:rPr>
              <w:br w:type="textWrapping" w:clear="all"/>
              <w:t xml:space="preserve">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</w:t>
            </w:r>
            <w:r>
              <w:rPr>
                <w:sz w:val="28"/>
                <w:szCs w:val="28"/>
              </w:rPr>
              <w:t xml:space="preserve">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0,00000106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0,00000515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структурного подразделения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автобуса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мерных колб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0,00126678/3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палочка стеклянная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пипеток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0,00063339/3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вытяжной шкаф лабораторный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0,00025336/5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пробирка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спиртовка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штатив демонстрационный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0,00126678/5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микроскоп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барометр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манометр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гигрометр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0,00253357/5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технические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0,00063339/5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цифровой датчик тока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0,00063339/5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0,00063339/3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насос вакуумный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0,00050671/5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машина волновая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0,00038004/5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доска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для проектора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лестничный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мнемосхема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вывеска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тактильные таблички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вызова персонала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0,00008277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антибактериальное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0,00051734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0,00024832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холстопрошивное полотно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чистящее средство для сантехники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бумажные полотенца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0,00103468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туалетной бумаги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бумажных полотенец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жидкого мыла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топливо для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0,00114540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техническая.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с ограниченными возможностями здоровья (ОВЗ).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52АО44000.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0,00002483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</w:t>
            </w:r>
            <w:r>
              <w:rPr>
                <w:sz w:val="28"/>
                <w:szCs w:val="28"/>
              </w:rPr>
              <w:t xml:space="preserve">енно связанных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0,02118751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0,00019479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0,00037509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0,00000106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0,00000515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структурного подразделения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автобуса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3D принтер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0,00030684/3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3D сканер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0,00030684/3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радиоаппаратура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моделей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стеклотекстолит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аппаратура управления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электромотор трехфазный </w:t>
            </w:r>
            <w:r>
              <w:rPr>
                <w:sz w:val="28"/>
                <w:szCs w:val="28"/>
              </w:rPr>
              <w:t xml:space="preserve">ассинхроный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 управления трассой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станок деревообрабатывающий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0,00061369/8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радиомоторы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для изучения манипуляционных роботов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0,00030684/6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образовательный набор по механике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0,00030684/6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индукционная система с плеером и микрофоном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0,00061369/3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доска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для проектора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лестничный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мнемосхема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вывеска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тактильные таблички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вызова персонала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0,00008277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антибактериальное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0,00051734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0,00024832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холстопрошивное полотно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чистящее средство для сантехники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бумажные полотенца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0,00103468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туалетной бумаги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бумажных полотенец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жидкого мыла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топливо для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0,00114540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Наименование муниципальной услуги – «Реализация дополнительных общеразвивающих программ»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образовательной программы – художественная. 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с ограниченными возможностями здоровья (ОВЗ).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количество человеко-часов.</w:t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804200О.99.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52АП16000.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измерения натуральной нормы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9"/>
        <w:gridCol w:w="2444"/>
        <w:gridCol w:w="2914"/>
        <w:gridCol w:w="2544"/>
      </w:tblGrid>
      <w:tr>
        <w:trPr>
          <w:tblHeader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числения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0,00002483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краски акварельные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гуашь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ватман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бумага акварельная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палитра обыкновенная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акварельных карандашей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ножницы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скульптурный пластилин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0,00147789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для лепки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полимерная глина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0,00147789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угольных мелков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сангины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ткань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п.м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кистей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кнопок канцелярских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скотч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ластик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ткань паутинка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п.м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картон цветной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бумага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пленки для рисования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иных затрат, непосредственно связанных с оказанием муниципальной услуги, в том числе затраты на оплату коммунальных услуг, содержание объектов недвижимого имущества </w:t>
            </w:r>
            <w:r>
              <w:rPr>
                <w:sz w:val="28"/>
                <w:szCs w:val="28"/>
              </w:rPr>
              <w:br w:type="textWrapping" w:clear="all"/>
              <w:t xml:space="preserve">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Натуральные нормы, используемые при определении затрат на оплату коммунальных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0,00000106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0,00000035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0,04112868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0,00035241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и водоотведение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0,00183140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охранно-тревожной сигнализации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0,00000515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59"/>
        </w:trPr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</w:t>
            </w:r>
            <w:r>
              <w:rPr>
                <w:sz w:val="28"/>
                <w:szCs w:val="28"/>
              </w:rPr>
              <w:t xml:space="preserve">регламентно</w:t>
            </w:r>
            <w:r>
              <w:rPr>
                <w:sz w:val="28"/>
                <w:szCs w:val="28"/>
              </w:rPr>
              <w:t xml:space="preserve">-профилактический ремонт систем видеонаблюдения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заправка картриджей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0,00000172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приобретение услуг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стационарная связь (абонентская плата, повременная оплата)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телефонных точек,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соединений, ед.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0,00001862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по учебно-воспитательной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структурного подразделения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административно-</w:t>
            </w:r>
            <w:r>
              <w:rPr>
                <w:sz w:val="28"/>
                <w:szCs w:val="28"/>
              </w:rPr>
              <w:t xml:space="preserve">хозяйственной работе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0,00000621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вахтер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автобуса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нужды, связанные с приобретением материальных запасов,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мольберт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геометрических фигур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настольное освещение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печь для обжига глины (керамики)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0,00001478/5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пианино акустическое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0,00000739/5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стенд-стеллаж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0,00055421/5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шумовых инструментов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ящик для художника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0,00184736/5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паста-машина для раскатывания полимерной глины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0,00001108/3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ксилофон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0,00000369/5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станок скульптурный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0,00011084/5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сушки картин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0,00002217/5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 демонстрационный учебный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0,00001847/5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светильник-мольберт выставочный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индукционная система с плеером и микрофоном (персональная)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мультипад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мастихин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резцов по дереву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планшет для рельефного рисования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палитра-подставка для красок и кистей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0,00036947/5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стенд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0,00006208/4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бесперебойного питания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корпусной мебели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0,00002069/5 лет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мышь компьютерная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0,00006208/1 год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лазерное многофункциональное устройство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0,00001035/2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доска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0,00005173/3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для проектора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0,00006208/2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ученический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0,00001242/3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лестничный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уличный подъемник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0,00004139/3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мнемосхема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вывеска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тактильные таблички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вызова персонала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0,00006208/3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белый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0,00041387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жидкое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0,00008277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антибактериальное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0,00051734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туалетное детское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0,00031041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0,00012416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моющие средства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0,00024832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холстопрошивное полотно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0,00000414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веник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лампа дневного света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энергосберегающая лампа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0,00010347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чистящее средство для сантехники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бумажные полотенца 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0,00103468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туалетной бумаги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бумажных полотенец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диспенсер для жидкого мыла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0,00006208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0,00002069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0,00020694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Натуральные нормы, используемые при определении затрат на прочие общехозяйственные нужды, связанные с приобретением услуг (работ), используемых при оказании муниципальной услуги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физическими </w:t>
            </w:r>
            <w:r>
              <w:rPr>
                <w:sz w:val="28"/>
                <w:szCs w:val="28"/>
              </w:rPr>
              <w:br w:type="textWrapping" w:clear="all"/>
              <w:t xml:space="preserve">и юридическими лицами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0,00000828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топливо для автотранспорта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0,00114540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0,00000207</w:t>
            </w:r>
            <w:r>
              <w:rPr>
                <w:sz w:val="28"/>
                <w:szCs w:val="28"/>
              </w:rPr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</w:p>
        </w:tc>
      </w:tr>
    </w:tbl>
    <w:p/>
    <w:sectPr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709"/>
    <w:uiPriority w:val="10"/>
    <w:rPr>
      <w:sz w:val="48"/>
      <w:szCs w:val="48"/>
    </w:rPr>
  </w:style>
  <w:style w:type="character" w:styleId="37">
    <w:name w:val="Subtitle Char"/>
    <w:basedOn w:val="695"/>
    <w:link w:val="711"/>
    <w:uiPriority w:val="11"/>
    <w:rPr>
      <w:sz w:val="24"/>
      <w:szCs w:val="24"/>
    </w:rPr>
  </w:style>
  <w:style w:type="character" w:styleId="39">
    <w:name w:val="Quote Char"/>
    <w:link w:val="713"/>
    <w:uiPriority w:val="29"/>
    <w:rPr>
      <w:i/>
    </w:rPr>
  </w:style>
  <w:style w:type="character" w:styleId="41">
    <w:name w:val="Intense Quote Char"/>
    <w:link w:val="715"/>
    <w:uiPriority w:val="30"/>
    <w:rPr>
      <w:i/>
    </w:rPr>
  </w:style>
  <w:style w:type="character" w:styleId="45">
    <w:name w:val="Footer Char"/>
    <w:basedOn w:val="695"/>
    <w:link w:val="719"/>
    <w:uiPriority w:val="99"/>
  </w:style>
  <w:style w:type="character" w:styleId="47">
    <w:name w:val="Caption Char"/>
    <w:basedOn w:val="695"/>
    <w:link w:val="72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0"/>
    <w:uiPriority w:val="99"/>
    <w:rPr>
      <w:sz w:val="18"/>
    </w:rPr>
  </w:style>
  <w:style w:type="character" w:styleId="179">
    <w:name w:val="Endnote Text Char"/>
    <w:link w:val="853"/>
    <w:uiPriority w:val="99"/>
    <w:rPr>
      <w:sz w:val="20"/>
    </w:rPr>
  </w:style>
  <w:style w:type="paragraph" w:styleId="685" w:default="1">
    <w:name w:val="Normal"/>
    <w:qFormat/>
  </w:style>
  <w:style w:type="paragraph" w:styleId="686">
    <w:name w:val="Heading 1"/>
    <w:basedOn w:val="685"/>
    <w:next w:val="685"/>
    <w:link w:val="698"/>
    <w:qFormat/>
    <w:pPr>
      <w:keepNext/>
      <w:ind w:right="-1" w:firstLine="709"/>
      <w:jc w:val="both"/>
      <w:outlineLvl w:val="0"/>
    </w:pPr>
    <w:rPr>
      <w:sz w:val="24"/>
    </w:rPr>
  </w:style>
  <w:style w:type="paragraph" w:styleId="687">
    <w:name w:val="Heading 2"/>
    <w:basedOn w:val="685"/>
    <w:next w:val="685"/>
    <w:link w:val="699"/>
    <w:qFormat/>
    <w:pPr>
      <w:keepNext/>
      <w:ind w:right="-1"/>
      <w:jc w:val="both"/>
      <w:outlineLvl w:val="1"/>
    </w:pPr>
    <w:rPr>
      <w:sz w:val="2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0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"/>
    <w:link w:val="686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685"/>
    <w:uiPriority w:val="34"/>
    <w:qFormat/>
    <w:pPr>
      <w:ind w:left="720"/>
      <w:contextualSpacing/>
    </w:pPr>
  </w:style>
  <w:style w:type="paragraph" w:styleId="708">
    <w:name w:val="No Spacing"/>
    <w:uiPriority w:val="1"/>
    <w:qFormat/>
    <w:rPr>
      <w:lang w:eastAsia="zh-CN"/>
    </w:rPr>
  </w:style>
  <w:style w:type="paragraph" w:styleId="709">
    <w:name w:val="Title"/>
    <w:basedOn w:val="685"/>
    <w:next w:val="685"/>
    <w:link w:val="7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85"/>
    <w:next w:val="68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85"/>
    <w:next w:val="685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5"/>
    <w:next w:val="685"/>
    <w:link w:val="7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5"/>
    <w:link w:val="872"/>
    <w:uiPriority w:val="99"/>
    <w:pPr>
      <w:tabs>
        <w:tab w:val="center" w:pos="4153" w:leader="none"/>
        <w:tab w:val="right" w:pos="8306" w:leader="none"/>
      </w:tabs>
    </w:pPr>
  </w:style>
  <w:style w:type="character" w:styleId="718" w:customStyle="1">
    <w:name w:val="Header Char"/>
    <w:uiPriority w:val="99"/>
  </w:style>
  <w:style w:type="paragraph" w:styleId="719">
    <w:name w:val="Footer"/>
    <w:basedOn w:val="685"/>
    <w:link w:val="720"/>
    <w:pPr>
      <w:tabs>
        <w:tab w:val="center" w:pos="4153" w:leader="none"/>
        <w:tab w:val="right" w:pos="8306" w:leader="none"/>
      </w:tabs>
    </w:pPr>
  </w:style>
  <w:style w:type="character" w:styleId="720" w:customStyle="1">
    <w:name w:val="Нижний колонтитул Знак"/>
    <w:link w:val="719"/>
    <w:uiPriority w:val="99"/>
  </w:style>
  <w:style w:type="paragraph" w:styleId="721">
    <w:name w:val="Caption"/>
    <w:basedOn w:val="685"/>
    <w:next w:val="685"/>
    <w:link w:val="722"/>
    <w:qFormat/>
    <w:pPr>
      <w:widowControl w:val="off"/>
      <w:spacing w:line="360" w:lineRule="exact"/>
      <w:jc w:val="center"/>
    </w:pPr>
    <w:rPr>
      <w:b/>
      <w:sz w:val="32"/>
    </w:rPr>
  </w:style>
  <w:style w:type="character" w:styleId="722" w:customStyle="1">
    <w:name w:val="Название объекта Знак"/>
    <w:link w:val="721"/>
    <w:uiPriority w:val="35"/>
    <w:rPr>
      <w:b/>
      <w:bCs/>
      <w:color w:val="4f81bd"/>
      <w:sz w:val="18"/>
      <w:szCs w:val="18"/>
    </w:rPr>
  </w:style>
  <w:style w:type="table" w:styleId="723">
    <w:name w:val="Table Grid"/>
    <w:basedOn w:val="696"/>
    <w:tblPr/>
  </w:style>
  <w:style w:type="table" w:styleId="72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9">
    <w:name w:val="Hyperlink"/>
    <w:uiPriority w:val="99"/>
    <w:unhideWhenUsed/>
    <w:rPr>
      <w:color w:val="0000ff"/>
      <w:u w:val="single"/>
    </w:rPr>
  </w:style>
  <w:style w:type="paragraph" w:styleId="850">
    <w:name w:val="footnote text"/>
    <w:basedOn w:val="685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85"/>
    <w:link w:val="854"/>
    <w:uiPriority w:val="99"/>
    <w:semiHidden/>
    <w:unhideWhenUsed/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85"/>
    <w:next w:val="685"/>
    <w:uiPriority w:val="39"/>
    <w:unhideWhenUsed/>
    <w:pPr>
      <w:spacing w:after="57"/>
    </w:pPr>
  </w:style>
  <w:style w:type="paragraph" w:styleId="857">
    <w:name w:val="toc 2"/>
    <w:basedOn w:val="685"/>
    <w:next w:val="685"/>
    <w:uiPriority w:val="39"/>
    <w:unhideWhenUsed/>
    <w:pPr>
      <w:spacing w:after="57"/>
      <w:ind w:left="283"/>
    </w:pPr>
  </w:style>
  <w:style w:type="paragraph" w:styleId="858">
    <w:name w:val="toc 3"/>
    <w:basedOn w:val="685"/>
    <w:next w:val="685"/>
    <w:uiPriority w:val="39"/>
    <w:unhideWhenUsed/>
    <w:pPr>
      <w:spacing w:after="57"/>
      <w:ind w:left="567"/>
    </w:pPr>
  </w:style>
  <w:style w:type="paragraph" w:styleId="859">
    <w:name w:val="toc 4"/>
    <w:basedOn w:val="685"/>
    <w:next w:val="685"/>
    <w:uiPriority w:val="39"/>
    <w:unhideWhenUsed/>
    <w:pPr>
      <w:spacing w:after="57"/>
      <w:ind w:left="850"/>
    </w:pPr>
  </w:style>
  <w:style w:type="paragraph" w:styleId="860">
    <w:name w:val="toc 5"/>
    <w:basedOn w:val="685"/>
    <w:next w:val="685"/>
    <w:uiPriority w:val="39"/>
    <w:unhideWhenUsed/>
    <w:pPr>
      <w:spacing w:after="57"/>
      <w:ind w:left="1134"/>
    </w:pPr>
  </w:style>
  <w:style w:type="paragraph" w:styleId="861">
    <w:name w:val="toc 6"/>
    <w:basedOn w:val="685"/>
    <w:next w:val="685"/>
    <w:uiPriority w:val="39"/>
    <w:unhideWhenUsed/>
    <w:pPr>
      <w:spacing w:after="57"/>
      <w:ind w:left="1417"/>
    </w:pPr>
  </w:style>
  <w:style w:type="paragraph" w:styleId="862">
    <w:name w:val="toc 7"/>
    <w:basedOn w:val="685"/>
    <w:next w:val="685"/>
    <w:uiPriority w:val="39"/>
    <w:unhideWhenUsed/>
    <w:pPr>
      <w:spacing w:after="57"/>
      <w:ind w:left="1701"/>
    </w:pPr>
  </w:style>
  <w:style w:type="paragraph" w:styleId="863">
    <w:name w:val="toc 8"/>
    <w:basedOn w:val="685"/>
    <w:next w:val="685"/>
    <w:uiPriority w:val="39"/>
    <w:unhideWhenUsed/>
    <w:pPr>
      <w:spacing w:after="57"/>
      <w:ind w:left="1984"/>
    </w:pPr>
  </w:style>
  <w:style w:type="paragraph" w:styleId="864">
    <w:name w:val="toc 9"/>
    <w:basedOn w:val="685"/>
    <w:next w:val="685"/>
    <w:uiPriority w:val="39"/>
    <w:unhideWhenUsed/>
    <w:pPr>
      <w:spacing w:after="57"/>
      <w:ind w:left="2268"/>
    </w:pPr>
  </w:style>
  <w:style w:type="paragraph" w:styleId="865">
    <w:name w:val="TOC Heading"/>
    <w:uiPriority w:val="39"/>
    <w:unhideWhenUsed/>
    <w:rPr>
      <w:lang w:eastAsia="zh-CN"/>
    </w:rPr>
  </w:style>
  <w:style w:type="paragraph" w:styleId="866">
    <w:name w:val="table of figures"/>
    <w:basedOn w:val="685"/>
    <w:next w:val="685"/>
    <w:uiPriority w:val="99"/>
    <w:unhideWhenUsed/>
  </w:style>
  <w:style w:type="paragraph" w:styleId="867">
    <w:name w:val="Body Text"/>
    <w:basedOn w:val="685"/>
    <w:link w:val="874"/>
    <w:pPr>
      <w:ind w:right="3117"/>
    </w:pPr>
    <w:rPr>
      <w:rFonts w:ascii="Courier New" w:hAnsi="Courier New"/>
      <w:sz w:val="26"/>
      <w:lang w:val="en-US" w:eastAsia="en-US"/>
    </w:rPr>
  </w:style>
  <w:style w:type="paragraph" w:styleId="868">
    <w:name w:val="Body Text Indent"/>
    <w:basedOn w:val="685"/>
    <w:pPr>
      <w:ind w:right="-1"/>
      <w:jc w:val="both"/>
    </w:pPr>
    <w:rPr>
      <w:sz w:val="26"/>
    </w:rPr>
  </w:style>
  <w:style w:type="character" w:styleId="869">
    <w:name w:val="page number"/>
    <w:basedOn w:val="695"/>
  </w:style>
  <w:style w:type="paragraph" w:styleId="870">
    <w:name w:val="Balloon Text"/>
    <w:basedOn w:val="685"/>
    <w:link w:val="871"/>
    <w:rPr>
      <w:rFonts w:ascii="Segoe UI" w:hAnsi="Segoe UI"/>
      <w:sz w:val="18"/>
      <w:szCs w:val="18"/>
      <w:lang w:val="en-US" w:eastAsia="en-US"/>
    </w:rPr>
  </w:style>
  <w:style w:type="character" w:styleId="871" w:customStyle="1">
    <w:name w:val="Текст выноски Знак"/>
    <w:link w:val="870"/>
    <w:rPr>
      <w:rFonts w:ascii="Segoe UI" w:hAnsi="Segoe UI" w:cs="Segoe UI"/>
      <w:sz w:val="18"/>
      <w:szCs w:val="18"/>
    </w:rPr>
  </w:style>
  <w:style w:type="character" w:styleId="872" w:customStyle="1">
    <w:name w:val="Верхний колонтитул Знак"/>
    <w:link w:val="717"/>
    <w:uiPriority w:val="99"/>
  </w:style>
  <w:style w:type="paragraph" w:styleId="873" w:customStyle="1">
    <w:name w:val="Форма"/>
    <w:rPr>
      <w:sz w:val="28"/>
      <w:szCs w:val="28"/>
    </w:rPr>
  </w:style>
  <w:style w:type="character" w:styleId="874" w:customStyle="1">
    <w:name w:val="Основной текст Знак"/>
    <w:link w:val="867"/>
    <w:rPr>
      <w:rFonts w:ascii="Courier New" w:hAnsi="Courier New"/>
      <w:sz w:val="26"/>
    </w:rPr>
  </w:style>
  <w:style w:type="paragraph" w:styleId="875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21</cp:revision>
  <dcterms:created xsi:type="dcterms:W3CDTF">2025-10-14T15:35:00Z</dcterms:created>
  <dcterms:modified xsi:type="dcterms:W3CDTF">2025-10-20T10:47:57Z</dcterms:modified>
  <cp:version>1048576</cp:version>
</cp:coreProperties>
</file>