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-547370</wp:posOffset>
                </wp:positionV>
                <wp:extent cx="406400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0pt;mso-position-horizontal:absolute;mso-position-vertical-relative:text;margin-top:-43.10pt;mso-position-vertical:absolute;width:32.00pt;height:39.00pt;mso-wrap-distance-left:9.00pt;mso-wrap-distance-top:0.00pt;mso-wrap-distance-right:9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8985</wp:posOffset>
                </wp:positionV>
                <wp:extent cx="6285229" cy="110480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8" cy="1104804"/>
                          <a:chOff x="0" y="0"/>
                          <a:chExt cx="6285228" cy="110480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229" cy="1104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6538" y="785350"/>
                            <a:ext cx="1539238" cy="319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>
                                <w:t xml:space="preserve">20.10.20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5002528" y="785350"/>
                            <a:ext cx="1090293" cy="319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843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0.71pt;mso-position-vertical:absolute;width:494.90pt;height:86.99pt;mso-wrap-distance-left:9.00pt;mso-wrap-distance-top:0.00pt;mso-wrap-distance-right:9.00pt;mso-wrap-distance-bottom:0.00pt;" coordorigin="0,0" coordsize="62852,11048">
                <v:shape id="shape 2" o:spid="_x0000_s2" o:spt="202" type="#_x0000_t202" style="position:absolute;left:0;top:0;width:62852;height:11048;visibility:visible;" fillcolor="#FFFFFF" stroked="f">
                  <v:textbox inset="0,0,0,0">
                    <w:txbxContent>
                      <w:p>
                        <w:pPr>
                          <w:pStyle w:val="92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7853;width:15392;height:319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>
                          <w:t xml:space="preserve">20.10.20</w:t>
                        </w:r>
                        <w:r/>
                      </w:p>
                    </w:txbxContent>
                  </v:textbox>
                </v:shape>
                <v:shape id="shape 4" o:spid="_x0000_s4" o:spt="202" type="#_x0000_t202" style="position:absolute;left:50025;top:7853;width:10902;height:319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843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spacing w:line="240" w:lineRule="exact"/>
        <w:rPr>
          <w:b/>
          <w:bCs/>
        </w:rPr>
      </w:pPr>
      <w:r/>
      <w:bookmarkStart w:id="0" w:name="_Hlk21852922"/>
      <w:r>
        <w:rPr>
          <w:b/>
        </w:rPr>
        <w:t xml:space="preserve">О внесении изменений в </w:t>
      </w:r>
      <w:bookmarkEnd w:id="0"/>
      <w:r>
        <w:rPr>
          <w:b/>
        </w:rPr>
        <w:t xml:space="preserve">пункт 4.5 </w:t>
      </w:r>
      <w:r>
        <w:rPr>
          <w:b/>
          <w:bCs/>
        </w:rPr>
      </w:r>
    </w:p>
    <w:p>
      <w:pPr>
        <w:pStyle w:val="932"/>
        <w:spacing w:line="240" w:lineRule="exact"/>
        <w:rPr>
          <w:b/>
          <w:bCs/>
        </w:rPr>
      </w:pPr>
      <w:r>
        <w:rPr>
          <w:b/>
        </w:rPr>
        <w:t xml:space="preserve">Методики расчета нормативных </w:t>
      </w:r>
      <w:r>
        <w:rPr>
          <w:b/>
          <w:bCs/>
        </w:rPr>
      </w:r>
    </w:p>
    <w:p>
      <w:pPr>
        <w:pStyle w:val="932"/>
        <w:spacing w:line="240" w:lineRule="exact"/>
        <w:rPr>
          <w:b/>
          <w:bCs/>
        </w:rPr>
      </w:pPr>
      <w:r>
        <w:rPr>
          <w:b/>
        </w:rPr>
        <w:t xml:space="preserve">затрат на оказание муниципальных </w:t>
      </w:r>
      <w:r>
        <w:rPr>
          <w:b/>
          <w:bCs/>
        </w:rPr>
      </w:r>
    </w:p>
    <w:p>
      <w:pPr>
        <w:pStyle w:val="932"/>
        <w:spacing w:line="240" w:lineRule="exact"/>
        <w:rPr>
          <w:b/>
        </w:rPr>
      </w:pPr>
      <w:r>
        <w:rPr>
          <w:b/>
        </w:rPr>
        <w:t xml:space="preserve">услуг «Реализация дополнительных </w:t>
      </w:r>
      <w:r>
        <w:rPr>
          <w:b/>
        </w:rPr>
      </w:r>
    </w:p>
    <w:p>
      <w:pPr>
        <w:pStyle w:val="932"/>
        <w:spacing w:line="240" w:lineRule="exact"/>
        <w:rPr>
          <w:b/>
          <w:bCs/>
        </w:rPr>
      </w:pPr>
      <w:r>
        <w:rPr>
          <w:b/>
        </w:rPr>
        <w:t xml:space="preserve">образовательных программ </w:t>
      </w:r>
      <w:r>
        <w:rPr>
          <w:b/>
          <w:bCs/>
        </w:rPr>
      </w:r>
    </w:p>
    <w:p>
      <w:pPr>
        <w:pStyle w:val="932"/>
        <w:spacing w:line="240" w:lineRule="exact"/>
        <w:rPr>
          <w:b/>
          <w:bCs/>
        </w:rPr>
      </w:pPr>
      <w:r>
        <w:rPr>
          <w:b/>
        </w:rPr>
        <w:t xml:space="preserve">спортивной подготовки </w:t>
      </w:r>
      <w:r>
        <w:rPr>
          <w:b/>
          <w:bCs/>
        </w:rPr>
      </w:r>
    </w:p>
    <w:p>
      <w:pPr>
        <w:pStyle w:val="932"/>
        <w:spacing w:line="240" w:lineRule="exact"/>
        <w:rPr>
          <w:b/>
          <w:bCs/>
        </w:rPr>
      </w:pPr>
      <w:r>
        <w:rPr>
          <w:b/>
        </w:rPr>
        <w:t xml:space="preserve">по олимпийским видам спорта», </w:t>
      </w:r>
      <w:r>
        <w:rPr>
          <w:b/>
          <w:bCs/>
        </w:rPr>
      </w:r>
    </w:p>
    <w:p>
      <w:pPr>
        <w:pStyle w:val="932"/>
        <w:spacing w:line="240" w:lineRule="exact"/>
        <w:rPr>
          <w:b/>
          <w:bCs/>
        </w:rPr>
      </w:pPr>
      <w:r>
        <w:rPr>
          <w:b/>
        </w:rPr>
        <w:t xml:space="preserve">«Реализация дополнительных </w:t>
      </w:r>
      <w:r>
        <w:rPr>
          <w:b/>
        </w:rPr>
        <w:br/>
        <w:t xml:space="preserve">образовательных программ </w:t>
      </w:r>
      <w:r>
        <w:rPr>
          <w:b/>
          <w:bCs/>
        </w:rPr>
      </w:r>
    </w:p>
    <w:p>
      <w:pPr>
        <w:pStyle w:val="932"/>
        <w:spacing w:line="240" w:lineRule="exact"/>
        <w:rPr>
          <w:b/>
          <w:bCs/>
        </w:rPr>
      </w:pPr>
      <w:r>
        <w:rPr>
          <w:b/>
        </w:rPr>
        <w:t xml:space="preserve">спортивной подготовки </w:t>
      </w:r>
      <w:r>
        <w:rPr>
          <w:b/>
          <w:bCs/>
        </w:rPr>
      </w:r>
    </w:p>
    <w:p>
      <w:pPr>
        <w:pStyle w:val="932"/>
        <w:spacing w:line="240" w:lineRule="exact"/>
        <w:rPr>
          <w:b/>
        </w:rPr>
      </w:pPr>
      <w:r>
        <w:rPr>
          <w:b/>
        </w:rPr>
        <w:t xml:space="preserve">по неолимпийским видам спорта», </w:t>
      </w:r>
      <w:r>
        <w:rPr>
          <w:b/>
        </w:rPr>
      </w:r>
    </w:p>
    <w:p>
      <w:pPr>
        <w:pStyle w:val="932"/>
        <w:spacing w:line="240" w:lineRule="exact"/>
        <w:rPr>
          <w:b/>
        </w:rPr>
      </w:pPr>
      <w:r>
        <w:rPr>
          <w:b/>
        </w:rPr>
        <w:t xml:space="preserve">нормативных затрат на содержание </w:t>
      </w:r>
      <w:r>
        <w:rPr>
          <w:b/>
        </w:rPr>
      </w:r>
    </w:p>
    <w:p>
      <w:pPr>
        <w:pStyle w:val="932"/>
        <w:spacing w:line="240" w:lineRule="exact"/>
        <w:rPr>
          <w:b/>
        </w:rPr>
      </w:pPr>
      <w:r>
        <w:rPr>
          <w:b/>
        </w:rPr>
        <w:t xml:space="preserve">муниципального имущества, </w:t>
      </w:r>
      <w:r>
        <w:rPr>
          <w:b/>
        </w:rPr>
      </w:r>
    </w:p>
    <w:p>
      <w:pPr>
        <w:pStyle w:val="932"/>
        <w:spacing w:line="240" w:lineRule="exact"/>
        <w:rPr>
          <w:b/>
        </w:rPr>
      </w:pPr>
      <w:r>
        <w:rPr>
          <w:b/>
        </w:rPr>
        <w:t xml:space="preserve">уплату налогов, утвержденной </w:t>
      </w:r>
      <w:r>
        <w:rPr>
          <w:b/>
        </w:rPr>
      </w:r>
    </w:p>
    <w:p>
      <w:pPr>
        <w:pStyle w:val="932"/>
        <w:spacing w:line="240" w:lineRule="exact"/>
        <w:rPr>
          <w:b/>
        </w:rPr>
      </w:pPr>
      <w:r>
        <w:rPr>
          <w:b/>
        </w:rPr>
        <w:t xml:space="preserve">постановлением администрации </w:t>
      </w:r>
      <w:r>
        <w:rPr>
          <w:b/>
        </w:rPr>
      </w:r>
    </w:p>
    <w:p>
      <w:pPr>
        <w:pStyle w:val="932"/>
        <w:spacing w:line="240" w:lineRule="exact"/>
        <w:rPr>
          <w:b/>
        </w:rPr>
      </w:pPr>
      <w:r>
        <w:rPr>
          <w:b/>
        </w:rPr>
        <w:t xml:space="preserve">города Перми от 25.09.2018 № 632 </w:t>
      </w:r>
      <w:r>
        <w:rPr>
          <w:b/>
        </w:rPr>
      </w:r>
    </w:p>
    <w:p>
      <w:pPr>
        <w:pStyle w:val="932"/>
      </w:pPr>
      <w:r/>
      <w:r/>
    </w:p>
    <w:p>
      <w:pPr>
        <w:pStyle w:val="932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13" w:tooltip="https://login.consultant.ru/link/?req=doc&amp;base=LAW&amp;n=389332&amp;dst=3601&amp;field=134&amp;date=01.10.2021" w:history="1">
        <w:r>
          <w:rPr>
            <w:sz w:val="28"/>
            <w:szCs w:val="28"/>
          </w:rPr>
          <w:t xml:space="preserve">статьей 69.2</w:t>
        </w:r>
      </w:hyperlink>
      <w:r>
        <w:rPr>
          <w:sz w:val="28"/>
          <w:szCs w:val="28"/>
        </w:rPr>
        <w:t xml:space="preserve"> Бюджетного кодекса Российской Федерации, </w:t>
      </w:r>
      <w:hyperlink r:id="rId14" w:tooltip="https://login.consultant.ru/link/?req=doc&amp;base=RLAW368&amp;n=154126&amp;dst=76&amp;field=134&amp;date=01.10.2021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администрации города Перми от 30 ноября 2007 г. № 502 </w:t>
      </w:r>
      <w:r>
        <w:rPr>
          <w:sz w:val="28"/>
          <w:szCs w:val="28"/>
        </w:rPr>
        <w:br/>
        <w:t xml:space="preserve">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в целях актуализации правовых актов администрации города Перми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</w:p>
    <w:p>
      <w:pPr>
        <w:pStyle w:val="940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пункт 4.5 Методики</w:t>
      </w:r>
      <w:r>
        <w:t xml:space="preserve"> </w:t>
      </w:r>
      <w:r>
        <w:rPr>
          <w:sz w:val="28"/>
          <w:szCs w:val="28"/>
        </w:rPr>
        <w:t xml:space="preserve">расчета нормативных затрат </w:t>
      </w:r>
      <w:r>
        <w:rPr>
          <w:sz w:val="28"/>
          <w:szCs w:val="28"/>
        </w:rPr>
        <w:br/>
        <w:t xml:space="preserve">на оказание</w:t>
      </w:r>
      <w:r>
        <w:t xml:space="preserve"> </w:t>
      </w:r>
      <w:r>
        <w:rPr>
          <w:sz w:val="28"/>
          <w:szCs w:val="28"/>
        </w:rPr>
        <w:t xml:space="preserve">муниципальных услуг «Реализация дополнительных образовательных программ спортивной подготовки по олимпийским видам спорта», «Реализация дополнительных образовательных программ спортивн</w:t>
      </w:r>
      <w:r>
        <w:rPr>
          <w:sz w:val="28"/>
          <w:szCs w:val="28"/>
        </w:rPr>
        <w:t xml:space="preserve">ой подготовки по неолимпийским видам спорта», нормативных затрат на содержание муниципального имущества, уплату налогов, утвержденной постановлением администрации города Перми от 25 сентября 2018 г. № 632 (в ред. от 05.04.2019 № 70-П, от 22.11.2019 № 928,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23.04.2020 № 379, от 10.12.2020 № 1248, от 21.10.2021 № 934, от 21.12.2021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1167, от 07.10.2022 № 908, от 25.10.2022 № 1078, от 29.12.2022 № </w:t>
      </w:r>
      <w:r>
        <w:rPr>
          <w:sz w:val="28"/>
          <w:szCs w:val="28"/>
        </w:rPr>
        <w:t xml:space="preserve">1419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20.09.2023 № 873, от 18.10.2023 № 1107, от 21.11.2023 № 1295, от 13.09.2024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761, от 18.12.2024 № 1250, от 28.12.2024 № 1324, от 18.02.2025 № 78), дополнив после абзаца пятого абзацем следующего содержания:</w:t>
      </w:r>
      <w:r>
        <w:rPr>
          <w:sz w:val="28"/>
          <w:szCs w:val="28"/>
        </w:rPr>
      </w:r>
    </w:p>
    <w:p>
      <w:pPr>
        <w:pStyle w:val="940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«наличие в составе имущественного комплекса здания легкоатлетического манежа более 10 000 кв. м без учета вида спорта;».</w:t>
      </w:r>
      <w:r>
        <w:rPr>
          <w:sz w:val="28"/>
          <w:szCs w:val="28"/>
        </w:rPr>
      </w:r>
    </w:p>
    <w:p>
      <w:pPr>
        <w:pStyle w:val="940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распространяет</w:t>
      </w:r>
      <w:r>
        <w:rPr>
          <w:sz w:val="28"/>
          <w:szCs w:val="28"/>
        </w:rPr>
        <w:t xml:space="preserve">ся на правоо</w:t>
      </w:r>
      <w:bookmarkStart w:id="1" w:name="_GoBack"/>
      <w:r/>
      <w:bookmarkEnd w:id="1"/>
      <w:r>
        <w:rPr>
          <w:sz w:val="28"/>
          <w:szCs w:val="28"/>
        </w:rPr>
        <w:t xml:space="preserve">тношения, возникшие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 января 2025 г.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Style w:val="905"/>
            <w:color w:val="auto"/>
            <w:sz w:val="28"/>
            <w:szCs w:val="28"/>
            <w:u w:val="none"/>
          </w:rPr>
          <w:t xml:space="preserve">www.gorodperm.ru»</w:t>
        </w:r>
      </w:hyperlink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                                                                                    Э.О. Соснин</w:t>
      </w:r>
      <w:r>
        <w:rPr>
          <w:rFonts w:ascii="Times New Roman" w:hAnsi="Times New Roman"/>
          <w:sz w:val="28"/>
          <w:szCs w:val="28"/>
          <w:lang w:val="ru-RU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continuous"/>
      <w:pgSz w:w="11900" w:h="16820" w:orient="portrait"/>
      <w:pgMar w:top="1134" w:right="567" w:bottom="1134" w:left="1418" w:header="391" w:footer="720" w:gutter="0"/>
      <w:pgNumType w:start="1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92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rPr>
        <w:rStyle w:val="927"/>
      </w:rPr>
      <w:framePr w:wrap="around" w:vAnchor="text" w:hAnchor="margin" w:xAlign="center" w:y="1"/>
    </w:pPr>
    <w:r>
      <w:rPr>
        <w:rStyle w:val="927"/>
      </w:rPr>
      <w:fldChar w:fldCharType="begin"/>
    </w:r>
    <w:r>
      <w:rPr>
        <w:rStyle w:val="927"/>
      </w:rPr>
      <w:instrText xml:space="preserve">PAGE  </w:instrText>
    </w:r>
    <w:r>
      <w:rPr>
        <w:rStyle w:val="927"/>
      </w:rPr>
      <w:fldChar w:fldCharType="end"/>
    </w:r>
    <w:r>
      <w:rPr>
        <w:rStyle w:val="927"/>
      </w:rPr>
    </w:r>
  </w:p>
  <w:p>
    <w:pPr>
      <w:pStyle w:val="92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244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  <w:rPr>
      <w:lang w:eastAsia="ru-RU"/>
    </w:rPr>
  </w:style>
  <w:style w:type="paragraph" w:styleId="708">
    <w:name w:val="Heading 1"/>
    <w:basedOn w:val="707"/>
    <w:next w:val="707"/>
    <w:qFormat/>
    <w:pPr>
      <w:ind w:right="-1" w:firstLine="709"/>
      <w:jc w:val="both"/>
      <w:keepNext/>
      <w:outlineLvl w:val="0"/>
    </w:pPr>
    <w:rPr>
      <w:sz w:val="24"/>
    </w:rPr>
  </w:style>
  <w:style w:type="paragraph" w:styleId="709">
    <w:name w:val="Heading 2"/>
    <w:basedOn w:val="707"/>
    <w:next w:val="707"/>
    <w:qFormat/>
    <w:pPr>
      <w:ind w:right="-1"/>
      <w:jc w:val="both"/>
      <w:keepNext/>
      <w:outlineLvl w:val="1"/>
    </w:pPr>
    <w:rPr>
      <w:sz w:val="24"/>
    </w:rPr>
  </w:style>
  <w:style w:type="paragraph" w:styleId="710">
    <w:name w:val="Heading 3"/>
    <w:basedOn w:val="707"/>
    <w:next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707"/>
    <w:next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707"/>
    <w:next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707"/>
    <w:next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table" w:styleId="720">
    <w:name w:val="Plain Table 1"/>
    <w:basedOn w:val="71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71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71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7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7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71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5 Dark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71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>
    <w:name w:val="Grid Table 7 Colorful"/>
    <w:basedOn w:val="71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2">
    <w:name w:val="List Table 1 Light"/>
    <w:basedOn w:val="71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71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3"/>
    <w:basedOn w:val="7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"/>
    <w:basedOn w:val="7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5 Dark"/>
    <w:basedOn w:val="71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7">
    <w:name w:val="List Table 6 Colorful"/>
    <w:basedOn w:val="71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8">
    <w:name w:val="List Table 7 Colorful"/>
    <w:basedOn w:val="71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39" w:customStyle="1">
    <w:name w:val="Title Char"/>
    <w:basedOn w:val="717"/>
    <w:uiPriority w:val="10"/>
    <w:rPr>
      <w:sz w:val="48"/>
      <w:szCs w:val="48"/>
    </w:rPr>
  </w:style>
  <w:style w:type="character" w:styleId="740" w:customStyle="1">
    <w:name w:val="Subtitle Char"/>
    <w:basedOn w:val="717"/>
    <w:uiPriority w:val="11"/>
    <w:rPr>
      <w:sz w:val="24"/>
      <w:szCs w:val="24"/>
    </w:rPr>
  </w:style>
  <w:style w:type="character" w:styleId="741" w:customStyle="1">
    <w:name w:val="Quote Char"/>
    <w:uiPriority w:val="29"/>
    <w:rPr>
      <w:i/>
    </w:rPr>
  </w:style>
  <w:style w:type="character" w:styleId="742" w:customStyle="1">
    <w:name w:val="Intense Quote Char"/>
    <w:uiPriority w:val="30"/>
    <w:rPr>
      <w:i/>
    </w:rPr>
  </w:style>
  <w:style w:type="character" w:styleId="743" w:customStyle="1">
    <w:name w:val="Footnote Text Char"/>
    <w:uiPriority w:val="99"/>
    <w:rPr>
      <w:sz w:val="18"/>
    </w:rPr>
  </w:style>
  <w:style w:type="character" w:styleId="744" w:customStyle="1">
    <w:name w:val="Endnote Text Char"/>
    <w:uiPriority w:val="99"/>
    <w:rPr>
      <w:sz w:val="20"/>
    </w:rPr>
  </w:style>
  <w:style w:type="paragraph" w:styleId="745" w:customStyle="1">
    <w:name w:val="Заголовок 11"/>
    <w:basedOn w:val="707"/>
    <w:next w:val="707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6" w:customStyle="1">
    <w:name w:val="Heading 1 Char"/>
    <w:link w:val="745"/>
    <w:uiPriority w:val="9"/>
    <w:rPr>
      <w:rFonts w:ascii="Arial" w:hAnsi="Arial" w:eastAsia="Arial" w:cs="Arial"/>
      <w:sz w:val="40"/>
      <w:szCs w:val="40"/>
    </w:rPr>
  </w:style>
  <w:style w:type="paragraph" w:styleId="747" w:customStyle="1">
    <w:name w:val="Заголовок 21"/>
    <w:basedOn w:val="707"/>
    <w:next w:val="707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 w:customStyle="1">
    <w:name w:val="Heading 2 Char"/>
    <w:link w:val="747"/>
    <w:uiPriority w:val="9"/>
    <w:rPr>
      <w:rFonts w:ascii="Arial" w:hAnsi="Arial" w:eastAsia="Arial" w:cs="Arial"/>
      <w:sz w:val="34"/>
    </w:rPr>
  </w:style>
  <w:style w:type="paragraph" w:styleId="749" w:customStyle="1">
    <w:name w:val="Заголовок 31"/>
    <w:basedOn w:val="707"/>
    <w:next w:val="707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 w:customStyle="1">
    <w:name w:val="Heading 3 Char"/>
    <w:link w:val="749"/>
    <w:uiPriority w:val="9"/>
    <w:rPr>
      <w:rFonts w:ascii="Arial" w:hAnsi="Arial" w:eastAsia="Arial" w:cs="Arial"/>
      <w:sz w:val="30"/>
      <w:szCs w:val="30"/>
    </w:rPr>
  </w:style>
  <w:style w:type="paragraph" w:styleId="751" w:customStyle="1">
    <w:name w:val="Заголовок 41"/>
    <w:basedOn w:val="707"/>
    <w:next w:val="707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4 Char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 w:customStyle="1">
    <w:name w:val="Заголовок 51"/>
    <w:basedOn w:val="707"/>
    <w:next w:val="707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5 Char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 w:customStyle="1">
    <w:name w:val="Заголовок 61"/>
    <w:basedOn w:val="707"/>
    <w:next w:val="707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6 Char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 w:customStyle="1">
    <w:name w:val="Заголовок 71"/>
    <w:basedOn w:val="707"/>
    <w:next w:val="707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Heading 7 Char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 w:customStyle="1">
    <w:name w:val="Заголовок 81"/>
    <w:basedOn w:val="707"/>
    <w:next w:val="707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8 Char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 w:customStyle="1">
    <w:name w:val="Заголовок 91"/>
    <w:basedOn w:val="707"/>
    <w:next w:val="707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Heading 9 Char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707"/>
    <w:uiPriority w:val="34"/>
    <w:qFormat/>
    <w:pPr>
      <w:contextualSpacing/>
      <w:ind w:left="720"/>
    </w:pPr>
  </w:style>
  <w:style w:type="paragraph" w:styleId="764">
    <w:name w:val="No Spacing"/>
    <w:uiPriority w:val="1"/>
    <w:qFormat/>
  </w:style>
  <w:style w:type="paragraph" w:styleId="765">
    <w:name w:val="Title"/>
    <w:basedOn w:val="707"/>
    <w:next w:val="707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 w:customStyle="1">
    <w:name w:val="Название Знак"/>
    <w:link w:val="765"/>
    <w:uiPriority w:val="10"/>
    <w:rPr>
      <w:sz w:val="48"/>
      <w:szCs w:val="48"/>
    </w:rPr>
  </w:style>
  <w:style w:type="paragraph" w:styleId="767">
    <w:name w:val="Subtitle"/>
    <w:basedOn w:val="707"/>
    <w:next w:val="707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 w:customStyle="1">
    <w:name w:val="Подзаголовок Знак"/>
    <w:link w:val="767"/>
    <w:uiPriority w:val="11"/>
    <w:rPr>
      <w:sz w:val="24"/>
      <w:szCs w:val="24"/>
    </w:rPr>
  </w:style>
  <w:style w:type="paragraph" w:styleId="769">
    <w:name w:val="Quote"/>
    <w:basedOn w:val="707"/>
    <w:next w:val="707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07"/>
    <w:next w:val="707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paragraph" w:styleId="773" w:customStyle="1">
    <w:name w:val="Верхний колонтитул1"/>
    <w:basedOn w:val="707"/>
    <w:link w:val="77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4" w:customStyle="1">
    <w:name w:val="Header Char"/>
    <w:link w:val="773"/>
    <w:uiPriority w:val="99"/>
  </w:style>
  <w:style w:type="paragraph" w:styleId="775" w:customStyle="1">
    <w:name w:val="Нижний колонтитул1"/>
    <w:basedOn w:val="707"/>
    <w:link w:val="77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6" w:customStyle="1">
    <w:name w:val="Footer Char"/>
    <w:uiPriority w:val="99"/>
  </w:style>
  <w:style w:type="paragraph" w:styleId="777" w:customStyle="1">
    <w:name w:val="Название объекта1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8" w:customStyle="1">
    <w:name w:val="Caption Char"/>
    <w:link w:val="775"/>
    <w:uiPriority w:val="99"/>
  </w:style>
  <w:style w:type="table" w:styleId="779">
    <w:name w:val="Table Grid"/>
    <w:basedOn w:val="718"/>
    <w:uiPriority w:val="59"/>
    <w:tblPr/>
  </w:style>
  <w:style w:type="table" w:styleId="78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5">
    <w:name w:val="Hyperlink"/>
    <w:uiPriority w:val="99"/>
    <w:unhideWhenUsed/>
    <w:rPr>
      <w:color w:val="0000ff"/>
      <w:u w:val="single"/>
    </w:rPr>
  </w:style>
  <w:style w:type="paragraph" w:styleId="906">
    <w:name w:val="footnote text"/>
    <w:basedOn w:val="707"/>
    <w:link w:val="907"/>
    <w:uiPriority w:val="99"/>
    <w:semiHidden/>
    <w:unhideWhenUsed/>
    <w:pPr>
      <w:spacing w:after="40"/>
    </w:pPr>
    <w:rPr>
      <w:sz w:val="18"/>
    </w:rPr>
  </w:style>
  <w:style w:type="character" w:styleId="907" w:customStyle="1">
    <w:name w:val="Текст сноски Знак"/>
    <w:link w:val="906"/>
    <w:uiPriority w:val="99"/>
    <w:rPr>
      <w:sz w:val="18"/>
    </w:rPr>
  </w:style>
  <w:style w:type="character" w:styleId="908">
    <w:name w:val="footnote reference"/>
    <w:uiPriority w:val="99"/>
    <w:unhideWhenUsed/>
    <w:rPr>
      <w:vertAlign w:val="superscript"/>
    </w:rPr>
  </w:style>
  <w:style w:type="paragraph" w:styleId="909">
    <w:name w:val="endnote text"/>
    <w:basedOn w:val="707"/>
    <w:link w:val="910"/>
    <w:uiPriority w:val="99"/>
    <w:semiHidden/>
    <w:unhideWhenUsed/>
  </w:style>
  <w:style w:type="character" w:styleId="910" w:customStyle="1">
    <w:name w:val="Текст концевой сноски Знак"/>
    <w:link w:val="909"/>
    <w:uiPriority w:val="99"/>
    <w:rPr>
      <w:sz w:val="20"/>
    </w:rPr>
  </w:style>
  <w:style w:type="character" w:styleId="911">
    <w:name w:val="endnote reference"/>
    <w:uiPriority w:val="99"/>
    <w:semiHidden/>
    <w:unhideWhenUsed/>
    <w:rPr>
      <w:vertAlign w:val="superscript"/>
    </w:rPr>
  </w:style>
  <w:style w:type="paragraph" w:styleId="912">
    <w:name w:val="toc 1"/>
    <w:basedOn w:val="707"/>
    <w:next w:val="707"/>
    <w:uiPriority w:val="39"/>
    <w:unhideWhenUsed/>
    <w:pPr>
      <w:spacing w:after="57"/>
    </w:pPr>
  </w:style>
  <w:style w:type="paragraph" w:styleId="913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914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915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916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917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918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919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920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707"/>
    <w:next w:val="707"/>
    <w:uiPriority w:val="99"/>
    <w:unhideWhenUsed/>
  </w:style>
  <w:style w:type="paragraph" w:styleId="923">
    <w:name w:val="Caption"/>
    <w:basedOn w:val="707"/>
    <w:next w:val="70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4">
    <w:name w:val="Body Text"/>
    <w:basedOn w:val="707"/>
    <w:link w:val="937"/>
    <w:pPr>
      <w:ind w:right="3117"/>
    </w:pPr>
    <w:rPr>
      <w:rFonts w:ascii="Courier New" w:hAnsi="Courier New"/>
      <w:sz w:val="26"/>
      <w:lang w:val="en-US" w:eastAsia="en-US"/>
    </w:rPr>
  </w:style>
  <w:style w:type="paragraph" w:styleId="925">
    <w:name w:val="Body Text Indent"/>
    <w:basedOn w:val="707"/>
    <w:pPr>
      <w:ind w:right="-1"/>
      <w:jc w:val="both"/>
    </w:pPr>
    <w:rPr>
      <w:sz w:val="26"/>
    </w:rPr>
  </w:style>
  <w:style w:type="paragraph" w:styleId="926">
    <w:name w:val="Footer"/>
    <w:basedOn w:val="707"/>
    <w:pPr>
      <w:tabs>
        <w:tab w:val="center" w:pos="4153" w:leader="none"/>
        <w:tab w:val="right" w:pos="8306" w:leader="none"/>
      </w:tabs>
    </w:pPr>
  </w:style>
  <w:style w:type="character" w:styleId="927">
    <w:name w:val="page number"/>
    <w:basedOn w:val="717"/>
  </w:style>
  <w:style w:type="paragraph" w:styleId="928">
    <w:name w:val="Header"/>
    <w:basedOn w:val="707"/>
    <w:link w:val="931"/>
    <w:uiPriority w:val="99"/>
    <w:pPr>
      <w:tabs>
        <w:tab w:val="center" w:pos="4153" w:leader="none"/>
        <w:tab w:val="right" w:pos="8306" w:leader="none"/>
      </w:tabs>
    </w:pPr>
  </w:style>
  <w:style w:type="paragraph" w:styleId="929">
    <w:name w:val="Balloon Text"/>
    <w:basedOn w:val="707"/>
    <w:link w:val="930"/>
    <w:rPr>
      <w:rFonts w:ascii="Segoe UI" w:hAnsi="Segoe UI"/>
      <w:sz w:val="18"/>
      <w:szCs w:val="18"/>
      <w:lang w:val="en-US" w:eastAsia="en-US"/>
    </w:rPr>
  </w:style>
  <w:style w:type="character" w:styleId="930" w:customStyle="1">
    <w:name w:val="Текст выноски Знак"/>
    <w:link w:val="929"/>
    <w:rPr>
      <w:rFonts w:ascii="Segoe UI" w:hAnsi="Segoe UI" w:cs="Segoe UI"/>
      <w:sz w:val="18"/>
      <w:szCs w:val="18"/>
    </w:rPr>
  </w:style>
  <w:style w:type="character" w:styleId="931" w:customStyle="1">
    <w:name w:val="Верхний колонтитул Знак"/>
    <w:link w:val="928"/>
    <w:uiPriority w:val="99"/>
  </w:style>
  <w:style w:type="paragraph" w:styleId="932" w:customStyle="1">
    <w:name w:val="Форма"/>
    <w:rPr>
      <w:sz w:val="28"/>
      <w:szCs w:val="28"/>
      <w:lang w:eastAsia="ru-RU"/>
    </w:rPr>
  </w:style>
  <w:style w:type="paragraph" w:styleId="933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34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935">
    <w:name w:val="Subtle Emphasis"/>
    <w:uiPriority w:val="19"/>
    <w:qFormat/>
    <w:rPr>
      <w:i/>
      <w:iCs/>
      <w:color w:val="808080"/>
    </w:rPr>
  </w:style>
  <w:style w:type="numbering" w:styleId="936" w:customStyle="1">
    <w:name w:val="Нет списка1"/>
    <w:next w:val="719"/>
    <w:uiPriority w:val="99"/>
    <w:semiHidden/>
    <w:unhideWhenUsed/>
  </w:style>
  <w:style w:type="character" w:styleId="937" w:customStyle="1">
    <w:name w:val="Основной текст Знак"/>
    <w:link w:val="924"/>
    <w:rPr>
      <w:rFonts w:ascii="Courier New" w:hAnsi="Courier New"/>
      <w:sz w:val="26"/>
    </w:rPr>
  </w:style>
  <w:style w:type="paragraph" w:styleId="938">
    <w:name w:val="HTML Preformatted"/>
    <w:basedOn w:val="707"/>
    <w:link w:val="939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39" w:customStyle="1">
    <w:name w:val="Стандартный HTML Знак"/>
    <w:link w:val="938"/>
    <w:uiPriority w:val="99"/>
    <w:rPr>
      <w:rFonts w:ascii="Courier New" w:hAnsi="Courier New" w:cs="Courier New"/>
    </w:rPr>
  </w:style>
  <w:style w:type="paragraph" w:styleId="940">
    <w:name w:val="Normal (Web)"/>
    <w:basedOn w:val="707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89332&amp;dst=3601&amp;field=134&amp;date=01.10.2021" TargetMode="External"/><Relationship Id="rId14" Type="http://schemas.openxmlformats.org/officeDocument/2006/relationships/hyperlink" Target="https://login.consultant.ru/link/?req=doc&amp;base=RLAW368&amp;n=154126&amp;dst=76&amp;field=134&amp;date=01.10.2021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7</cp:revision>
  <dcterms:created xsi:type="dcterms:W3CDTF">2025-10-14T07:58:00Z</dcterms:created>
  <dcterms:modified xsi:type="dcterms:W3CDTF">2025-10-20T11:40:55Z</dcterms:modified>
  <cp:version>786432</cp:version>
</cp:coreProperties>
</file>