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color w:val="000000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66495"/>
                          <a:chOff x="0" y="0"/>
                          <a:chExt cx="62858" cy="1166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1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" y="8547"/>
                            <a:ext cx="15361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" y="8578"/>
                            <a:ext cx="10859" cy="3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,116">
                <v:shape id="shape 2" o:spid="_x0000_s2" o:spt="202" type="#_x0000_t202" style="position:absolute;left:0;top:0;width:628;height:116;visibility:visible;" fillcolor="#FFFFFF" stroked="f">
                  <v:textbox inset="0,0,0,0">
                    <w:txbxContent>
                      <w:p>
                        <w:pPr>
                          <w:pStyle w:val="73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;top:85;width:153;height:3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;top:85;width:108;height:3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color w:val="000000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en-US"/>
        </w:rPr>
      </w:r>
      <w:r>
        <w:rPr>
          <w:color w:val="000000"/>
          <w:sz w:val="24"/>
          <w:lang w:val="en-US"/>
        </w:rPr>
      </w:r>
    </w:p>
    <w:p>
      <w:pPr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отдельные </w:t>
      </w:r>
      <w:r>
        <w:rPr>
          <w:b/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правовые акты администрации </w:t>
      </w:r>
      <w:r>
        <w:rPr>
          <w:b/>
          <w:bCs/>
          <w:color w:val="000000"/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города Перми в сфере образования</w:t>
      </w:r>
      <w:r>
        <w:rPr>
          <w:b/>
          <w:bCs/>
          <w:color w:val="000000"/>
          <w:sz w:val="28"/>
          <w:szCs w:val="28"/>
        </w:rPr>
      </w:r>
    </w:p>
    <w:p>
      <w:pPr>
        <w:ind w:right="4953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Федеральными законами от 06 октября 2003 г. № 131-ФЗ </w:t>
      </w:r>
      <w:r>
        <w:rPr>
          <w:color w:val="000000"/>
          <w:sz w:val="28"/>
          <w:szCs w:val="28"/>
        </w:rPr>
        <w:br w:type="textWrapping" w:clear="all"/>
        <w:t xml:space="preserve">«Об общих принципах организации местного самоуправления в Российской </w:t>
      </w:r>
      <w:r>
        <w:rPr>
          <w:color w:val="000000"/>
          <w:sz w:val="28"/>
          <w:szCs w:val="28"/>
        </w:rPr>
        <w:br w:type="textWrapping" w:clear="all"/>
        <w:t xml:space="preserve">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color w:val="000000"/>
          <w:sz w:val="28"/>
          <w:szCs w:val="28"/>
        </w:rPr>
        <w:t xml:space="preserve">Уставом города Перми, решениями Пермской городской Думы от 28 августа 2007 г. № 185 </w:t>
      </w:r>
      <w:r>
        <w:rPr>
          <w:color w:val="000000"/>
          <w:sz w:val="28"/>
          <w:szCs w:val="28"/>
        </w:rPr>
        <w:br/>
        <w:t xml:space="preserve">«Об утверждении Положения о бюджете и бюджетном процессе в городе Перми», от 28 января 2014 г. № 13 «Об установлении расходного обязательства по возмещению части затрат частных образовательных организаций, осуществляющих </w:t>
      </w:r>
      <w:r>
        <w:rPr>
          <w:color w:val="000000"/>
          <w:sz w:val="28"/>
          <w:szCs w:val="28"/>
        </w:rPr>
        <w:br/>
        <w:t xml:space="preserve">на территории города Перми образовательную деятельность по имеющим государственную аккредитацию основным общеобразовательным программам», в целях актуализации нормативной правовой базы администрации города Перми</w:t>
      </w:r>
      <w:r>
        <w:rPr>
          <w:color w:val="000000"/>
          <w:sz w:val="28"/>
          <w:szCs w:val="28"/>
        </w:rPr>
      </w:r>
    </w:p>
    <w:p>
      <w:pPr>
        <w:pStyle w:val="879"/>
        <w:ind w:right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города Перми от 19 марта 2014 г. № 185 «Об утверждении Методики расчета и размера показателя для определения объема финансового обеспечения возм</w:t>
      </w:r>
      <w:r>
        <w:rPr>
          <w:color w:val="000000"/>
          <w:sz w:val="28"/>
          <w:szCs w:val="28"/>
        </w:rPr>
        <w:t xml:space="preserve">ещения части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программам» (в ред. от 17.11.2014 № 851, от 28.05.2015 </w:t>
      </w:r>
      <w:r>
        <w:rPr>
          <w:color w:val="000000"/>
          <w:sz w:val="28"/>
          <w:szCs w:val="28"/>
        </w:rPr>
        <w:br/>
        <w:t xml:space="preserve">№ 320, от 20.10.2015 № 842, от 26.02.2016 № 130, от 24.01.2017 № 47, </w:t>
      </w:r>
      <w:r>
        <w:rPr>
          <w:color w:val="000000"/>
          <w:sz w:val="28"/>
          <w:szCs w:val="28"/>
        </w:rPr>
        <w:br/>
        <w:t xml:space="preserve">от 19.10.2017 № 915, от 01.02.2018 № 66, от 19.10.2018 № 767, от 14.11.2019 </w:t>
      </w:r>
      <w:r>
        <w:rPr>
          <w:color w:val="000000"/>
          <w:sz w:val="28"/>
          <w:szCs w:val="28"/>
        </w:rPr>
        <w:br/>
        <w:t xml:space="preserve">№ 903, от 11.09.2020 № 826, от 24.09.2021 № 753, от 04.10.2022 № 901, </w:t>
      </w:r>
      <w:r>
        <w:rPr>
          <w:color w:val="000000"/>
          <w:sz w:val="28"/>
          <w:szCs w:val="28"/>
        </w:rPr>
        <w:br/>
        <w:t xml:space="preserve">от 24.10.2022 № 1064, от 13.10.2023 № 1008, от 10.10.2024 № 871, от 05.12.2024 </w:t>
      </w:r>
      <w:r>
        <w:rPr>
          <w:color w:val="000000"/>
          <w:sz w:val="28"/>
          <w:szCs w:val="28"/>
        </w:rPr>
        <w:br/>
        <w:t xml:space="preserve">№ 1186) следующие изменения:</w:t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преамбуле слова «Федеральным законом от 06 октября 2003 г. </w:t>
      </w:r>
      <w:r>
        <w:rPr>
          <w:color w:val="000000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 заменить словами «Федеральными законами от 06 октября 2003 г. № 131-ФЗ «Об общих принципах организации местного самоуправления </w:t>
      </w:r>
      <w:r>
        <w:rPr>
          <w:color w:val="000000"/>
          <w:sz w:val="28"/>
          <w:szCs w:val="28"/>
        </w:rPr>
        <w:br w:type="textWrapping" w:clear="all"/>
        <w:t xml:space="preserve">в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власти»;</w:t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дополнить пунктом 1.2</w:t>
      </w:r>
      <w:r>
        <w:rPr>
          <w:color w:val="000000"/>
          <w:sz w:val="28"/>
          <w:szCs w:val="28"/>
          <w:vertAlign w:val="superscript"/>
        </w:rPr>
        <w:t xml:space="preserve">11</w:t>
      </w:r>
      <w:r>
        <w:rPr>
          <w:color w:val="000000"/>
          <w:sz w:val="28"/>
          <w:szCs w:val="28"/>
        </w:rPr>
        <w:t xml:space="preserve"> следующего содержания: </w:t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«1.2</w:t>
      </w:r>
      <w:r>
        <w:rPr>
          <w:color w:val="000000"/>
          <w:sz w:val="28"/>
          <w:szCs w:val="28"/>
          <w:vertAlign w:val="superscript"/>
        </w:rPr>
        <w:t xml:space="preserve">11</w:t>
      </w:r>
      <w:r>
        <w:rPr>
          <w:color w:val="000000"/>
          <w:sz w:val="28"/>
          <w:szCs w:val="28"/>
        </w:rPr>
        <w:t xml:space="preserve">. размер показателя для определения объема финансового обеспечения</w:t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возмещения </w:t>
      </w:r>
      <w:r>
        <w:rPr>
          <w:color w:val="000000"/>
          <w:sz w:val="28"/>
          <w:szCs w:val="28"/>
        </w:rPr>
        <w:t xml:space="preserve">части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программам, на 2026 год и плановый период 2027 и 2028 годов.»;</w:t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дополнить размером показателя для определения объема финансового обеспечения возмещения части затрат частных общеобразовательных органи</w:t>
      </w:r>
      <w:r>
        <w:rPr>
          <w:color w:val="000000"/>
          <w:sz w:val="28"/>
          <w:szCs w:val="28"/>
        </w:rPr>
        <w:t xml:space="preserve">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программам, на 2026 год и плановый период 2027 и 2028 годов согласно приложению 1 к настоящему постановлению.</w:t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в постановление администрации города Перми от 20 марта </w:t>
      </w:r>
      <w:r>
        <w:rPr>
          <w:sz w:val="28"/>
          <w:szCs w:val="28"/>
        </w:rPr>
        <w:t xml:space="preserve">2014 г. № 186 «Об утверждении Методики расчета и размера показателей для определения объема финансового обеспечения возмещения части затрат частным образовательным организациям, осуществляющим образовательную деятельность по образовательным программам дошк</w:t>
      </w:r>
      <w:r>
        <w:rPr>
          <w:sz w:val="28"/>
          <w:szCs w:val="28"/>
        </w:rPr>
        <w:t xml:space="preserve">ольного образования» (в ред. от 19.11.2014 № 876, от 28.05.2015 № 320, от 29.05.2015 № 323, от 30.07.2015 № 507, от 17.09.2015 № 651, от 20.10.2015 № 842, от 15.12.2015 № 1067, от 26.02.2016 № 130, от 28.02.2017 № 135, от 19.10.2017 № 916, от 01.02.2018 № </w:t>
      </w:r>
      <w:r>
        <w:rPr>
          <w:sz w:val="28"/>
          <w:szCs w:val="28"/>
        </w:rPr>
        <w:t xml:space="preserve">66, от 29.10.2018 № 843, от 07.11.2019 № 863, от 11.09.2020 № 825, от 23.09.2021 № 749, от 20.06.2022 № 493, от 04.10.2022 № 901, от 20.10.2022 № 1030, от 13.10.2023 № 1011, от 17.10.2024 № 909, 05.12.2024 № 1186, от 21.03.2025 № 182) следующие изменения: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 xml:space="preserve">в преамбуле слова «Федеральным законом от 06 о</w:t>
      </w:r>
      <w:r>
        <w:rPr>
          <w:color w:val="000000"/>
          <w:sz w:val="28"/>
          <w:szCs w:val="28"/>
        </w:rPr>
        <w:t xml:space="preserve">ктября 2003 г. № 131-ФЗ «Об общих принципах организации местного самоуправления в Российской Федерации» заменить словами «Федеральными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власти»;</w:t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дополнить пунктом 1.2</w:t>
      </w:r>
      <w:r>
        <w:rPr>
          <w:color w:val="000000"/>
          <w:sz w:val="28"/>
          <w:szCs w:val="28"/>
          <w:vertAlign w:val="superscript"/>
        </w:rPr>
        <w:t xml:space="preserve">11</w:t>
      </w:r>
      <w:r>
        <w:rPr>
          <w:color w:val="000000"/>
          <w:sz w:val="28"/>
          <w:szCs w:val="28"/>
        </w:rPr>
        <w:t xml:space="preserve"> следующего содержания: </w:t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«1.2</w:t>
      </w:r>
      <w:r>
        <w:rPr>
          <w:color w:val="000000"/>
          <w:sz w:val="28"/>
          <w:szCs w:val="28"/>
          <w:vertAlign w:val="superscript"/>
        </w:rPr>
        <w:t xml:space="preserve">11</w:t>
      </w:r>
      <w:r>
        <w:rPr>
          <w:color w:val="000000"/>
          <w:sz w:val="28"/>
          <w:szCs w:val="28"/>
        </w:rPr>
        <w:t xml:space="preserve">. размер показателя для определения объема финансового обеспечения</w:t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возмещения части затрат частным общеобразовательным организациям, осуществляющим образовательную деятельность по общеобразовательным программам дошкольного образования, на 2026 год и плановый период 2027 и 2028 годов.»;</w:t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дополнить размером показателей для определения объема финансового обеспечения возмещения ча</w:t>
      </w:r>
      <w:r>
        <w:rPr>
          <w:sz w:val="28"/>
          <w:szCs w:val="28"/>
        </w:rPr>
        <w:t xml:space="preserve">сти затрат частным образовательным организациям, осуществляющим образовательную деятельность по образовательным программам дошкольного образования, на 2026 год и плановый период 2027 и 2028 годов в редакции согласно приложению 2 к настоящему постановлению.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</w:t>
      </w:r>
      <w:r>
        <w:rPr>
          <w:sz w:val="28"/>
          <w:szCs w:val="28"/>
        </w:rPr>
        <w:br w:type="textWrapping" w:clear="all"/>
        <w:t xml:space="preserve">но не ранее</w:t>
      </w:r>
      <w:r>
        <w:rPr>
          <w:sz w:val="28"/>
        </w:rPr>
        <w:t xml:space="preserve">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</w:t>
      </w:r>
      <w:r>
        <w:rPr>
          <w:sz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lang w:val="en-US"/>
        </w:rPr>
        <w:t xml:space="preserve">www</w:t>
      </w:r>
      <w:r>
        <w:rPr>
          <w:sz w:val="28"/>
        </w:rPr>
        <w:t xml:space="preserve">.</w:t>
      </w:r>
      <w:r>
        <w:rPr>
          <w:sz w:val="28"/>
          <w:lang w:val="en-US"/>
        </w:rPr>
        <w:t xml:space="preserve">gorodperm</w:t>
      </w:r>
      <w:r>
        <w:rPr>
          <w:sz w:val="28"/>
        </w:rPr>
        <w:t xml:space="preserve">.</w:t>
      </w:r>
      <w:r>
        <w:rPr>
          <w:sz w:val="28"/>
          <w:lang w:val="en-US"/>
        </w:rPr>
        <w:t xml:space="preserve">ru</w:t>
      </w:r>
      <w:r>
        <w:rPr>
          <w:sz w:val="28"/>
        </w:rPr>
        <w:t xml:space="preserve">».</w:t>
      </w:r>
      <w:r>
        <w:rPr>
          <w:sz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9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9"/>
        <w:ind w:right="0"/>
        <w:jc w:val="both"/>
        <w:spacing w:line="240" w:lineRule="exact"/>
        <w:tabs>
          <w:tab w:val="right" w:pos="9915" w:leader="none"/>
        </w:tabs>
        <w:rPr>
          <w:color w:val="000000"/>
          <w:sz w:val="28"/>
          <w:szCs w:val="28"/>
          <w:lang w:val="ru-RU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Э.О. Соснин</w:t>
      </w:r>
      <w:r>
        <w:rPr>
          <w:color w:val="000000"/>
          <w:sz w:val="28"/>
          <w:szCs w:val="28"/>
          <w:lang w:val="ru-RU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1</w:t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 постановлению администрации города Перми</w:t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 20.10.2025 № 851</w:t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954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954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РАЗМЕР </w:t>
      </w:r>
      <w:r>
        <w:rPr>
          <w:b/>
          <w:color w:val="000000"/>
          <w:sz w:val="28"/>
          <w:szCs w:val="28"/>
        </w:rPr>
        <w:br w:type="textWrapping" w:clear="all"/>
        <w:t xml:space="preserve">показателя для определения объема финансового обеспечения возмещения части затрат частных общеобразовательных организаций, осуществляющих на территории города Перми образовательную деятельность по имеющим 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государственную аккредитацию основным общеобразовательным 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программам, на 2026 год и плановый период 2027 и 2028 годов</w:t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98"/>
        <w:gridCol w:w="1498"/>
        <w:gridCol w:w="1498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начального общего образования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основного общего образования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реализации основных общеобразовательных программ среднего общего образования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spacing w:line="14" w:lineRule="auto"/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98"/>
        <w:gridCol w:w="1498"/>
        <w:gridCol w:w="1498"/>
      </w:tblGrid>
      <w:tr>
        <w:tblPrEx/>
        <w:trPr>
          <w:tblHeader/>
        </w:trPr>
        <w:tc>
          <w:tcPr>
            <w:tcW w:w="563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01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</w:t>
            </w:r>
            <w:r>
              <w:rPr>
                <w:color w:val="000000"/>
                <w:sz w:val="24"/>
                <w:szCs w:val="24"/>
              </w:rPr>
              <w:t xml:space="preserve">траты 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5 479,79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5 491,20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5 468,79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1 695,88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1 695,88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1 695,88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уплату налогов,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1 902,39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1 902,39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1 902,39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размер показателя для определения объема финансового обеспечения </w:t>
            </w:r>
            <w:r>
              <w:rPr>
                <w:color w:val="000000"/>
                <w:sz w:val="24"/>
                <w:szCs w:val="24"/>
              </w:rPr>
              <w:t xml:space="preserve">возмещения части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программам, с учетом затрат на уплату налогов,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9 078,06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9 089,47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9 067,06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размер показателя для определения объема финансового обеспечения в</w:t>
            </w:r>
            <w:r>
              <w:rPr>
                <w:color w:val="000000"/>
                <w:sz w:val="24"/>
                <w:szCs w:val="24"/>
              </w:rPr>
              <w:t xml:space="preserve">озмещения части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программам, без учета затрат на уплату налогов,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7 175,67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7 187,08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7 164,67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01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затраты по реализации основных общеобразовательных программ начального общего </w:t>
            </w:r>
            <w:r>
              <w:rPr>
                <w:color w:val="000000"/>
                <w:sz w:val="24"/>
                <w:szCs w:val="24"/>
              </w:rPr>
              <w:t xml:space="preserve">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5 479,79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5 491,20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5 468,79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1 695,88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1 695,88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1 695,88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уплату налогов,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1 902,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1 902,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1 902,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размер показателя для определения объема финансового обеспечения </w:t>
            </w:r>
            <w:r>
              <w:rPr>
                <w:color w:val="000000"/>
                <w:sz w:val="24"/>
                <w:szCs w:val="24"/>
              </w:rPr>
              <w:t xml:space="preserve">возмещения части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программам, с учетом затрат на уплату налогов,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9 078,06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9 089,47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9 067,06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размер показателя для определения объема финансового обеспечения в</w:t>
            </w:r>
            <w:r>
              <w:rPr>
                <w:color w:val="000000"/>
                <w:sz w:val="24"/>
                <w:szCs w:val="24"/>
              </w:rPr>
              <w:t xml:space="preserve">озмещения части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программам, без учета затрат на уплату налогов,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7 175,67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7 187,08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7 164,67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01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Нормативные за</w:t>
            </w:r>
            <w:r>
              <w:rPr>
                <w:color w:val="000000"/>
                <w:sz w:val="24"/>
                <w:szCs w:val="24"/>
              </w:rPr>
              <w:t xml:space="preserve">траты 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5 479,79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5 491,20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5 468,79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1 695,88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1 695,88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1 695,88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Средняя величина нормативных затрат на уплату налогов,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1 902,39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1 902,39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1 902,39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размер показателя для опр</w:t>
            </w:r>
            <w:r>
              <w:rPr>
                <w:color w:val="000000"/>
                <w:sz w:val="24"/>
                <w:szCs w:val="24"/>
              </w:rPr>
              <w:t xml:space="preserve">еделения объема финансового обеспечения возмещения части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 учетом затрат на уплату налогов, </w:t>
            </w:r>
            <w:r>
              <w:rPr>
                <w:color w:val="000000"/>
                <w:sz w:val="24"/>
                <w:szCs w:val="24"/>
              </w:rPr>
              <w:t xml:space="preserve">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9 078,06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9 089,47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9 067,06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размер показателя для определения объема финансового обеспечения в</w:t>
            </w:r>
            <w:r>
              <w:rPr>
                <w:color w:val="000000"/>
                <w:sz w:val="24"/>
                <w:szCs w:val="24"/>
              </w:rPr>
              <w:t xml:space="preserve">озмещения части затрат частных общеобразовательных организаций, осуществляющих на территории города Перми образовательную деятельность по имеющим государственную аккредитацию основным общеобразовательным программам, без учета затрат на уплату налогов, руб.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7 175,67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7 187,08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7 164,67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color w:val="000000"/>
          <w:sz w:val="28"/>
        </w:rPr>
        <w:sectPr>
          <w:headerReference w:type="default" r:id="rId10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2</w:t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к постановлению администрации города Перми</w:t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left="567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20.10.2025 № 851</w:t>
      </w:r>
      <w:r/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center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показателей для определения объема финансового обеспечения возмещения </w:t>
      </w:r>
      <w:r>
        <w:rPr>
          <w:b/>
          <w:sz w:val="28"/>
          <w:szCs w:val="28"/>
        </w:rPr>
        <w:br w:type="textWrapping" w:clear="all"/>
        <w:t xml:space="preserve">части затрат частным образовательным организациям, осуществляющим </w:t>
      </w:r>
      <w:r>
        <w:rPr>
          <w:b/>
          <w:sz w:val="28"/>
          <w:szCs w:val="28"/>
        </w:rPr>
        <w:br w:type="textWrapping" w:clear="all"/>
        <w:t xml:space="preserve">образовательную деятельность по образовательным программам </w:t>
      </w:r>
      <w:r>
        <w:rPr>
          <w:b/>
          <w:sz w:val="28"/>
          <w:szCs w:val="28"/>
        </w:rPr>
        <w:br w:type="textWrapping" w:clear="all"/>
        <w:t xml:space="preserve">дошкольного образования, на 2026 год и плановый период 2027 и 2028 годов</w:t>
      </w:r>
      <w:r>
        <w:rPr>
          <w:b/>
          <w:sz w:val="28"/>
          <w:szCs w:val="28"/>
        </w:rPr>
      </w:r>
    </w:p>
    <w:p>
      <w:pPr>
        <w:ind w:firstLine="709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701"/>
        <w:gridCol w:w="1701"/>
        <w:gridCol w:w="1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 лет, группа полного дня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 до 8 лет, группа полного дня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 лет, группа кратковременного пребывания детей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 до 8 лет, группа кратковременного пребывания детей</w:t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701"/>
        <w:gridCol w:w="1701"/>
        <w:gridCol w:w="170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затраты по реализации основных общеобразовательных программ дошкольного образования (обучающиеся, за исключением обучающихся с ограниченными возможностями здоровья (ОВЗ)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детей-инвалидов),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8 173,01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6 750,05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2 724,34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2 250,05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затраты по реализации основных общеобразовательных программ дошкольного образования (адаптированная образовательная программа обучающихся с ограниченными возможностями здоровья (ОВЗ),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8 173,01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6 750,05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затраты по присмотру и уходу (физические лица, за исключением льготных категорий),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6 058,80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6 000,91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2 019,61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2 000,27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величина нормативных затрат на уплату налогов,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опреде</w:t>
            </w:r>
            <w:r>
              <w:rPr>
                <w:sz w:val="22"/>
                <w:szCs w:val="22"/>
              </w:rPr>
              <w:t xml:space="preserve">ления объема финансового обеспечения возмещения части затрат частным образовательным организациям, осуществляющим образовательную деятельность по образовательным программам дошкольного образования, с учетом затрат на уплату налогов (обучающиеся, за исключе</w:t>
            </w:r>
            <w:r>
              <w:rPr>
                <w:sz w:val="22"/>
                <w:szCs w:val="22"/>
              </w:rPr>
              <w:t xml:space="preserve">нием обучающихся с ограниченными возможностями здоровья (ОВЗ) и детей-инвалидов),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18 524,76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17 043,91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9 036,90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543,27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определения объема финансового обеспечения возмещения части затрат ча</w:t>
            </w:r>
            <w:r>
              <w:rPr>
                <w:sz w:val="22"/>
                <w:szCs w:val="22"/>
              </w:rPr>
              <w:t xml:space="preserve">стным образовательным организациям, осуществляющим образовательную деятельность по образовательным программам дошкольного образования, без учета затрат на уплату налогов (обучающиеся, за исключением обучающихся с ограниченными возможностями здоровья (ОВЗ)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детей-инвалидов),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16 809,18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15 328,33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7 321,32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6 827,69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определения объема финансового обеспечения возмещения части затрат частным образовател</w:t>
            </w:r>
            <w:r>
              <w:rPr>
                <w:sz w:val="22"/>
                <w:szCs w:val="22"/>
              </w:rPr>
              <w:t xml:space="preserve">ьным организациям, осуществляющим образовательную деятельность по образовательным программам дошкольного образования, с учетом затрат на уплату налогов (адаптированная образовательная программа обучающихся с ограниченными возможностями здоровья (ОВЗ),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18 524,76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17 043,91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определения объема финансового обеспечения возмещения части затрат частным образовательным организациям, осуществляющим образовательную деятельность по образовательным программам дошкольного образования,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учета затрат на уплату налогов (адаптированная образовательная программа обучающихся с ограниченными возможностями здоровья (ОВЗ),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16 809,18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15 328,33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2027 год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затраты по реализации основных общеобразовательных программ дошкольного образования (обучающиеся, за исключением обучающихся с ограниченными возможностями здоровья (ОВЗ)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детей-инвалидов),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8 173,01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6 750,05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2 724,34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2 250,05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затраты по реализации основных общеобразовательных программ дошкольного образования (адаптированная образовательная программа обучающихся с ограниченными возможностями здоровья (ОВЗ),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8 173,01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6 750,05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затраты по присмотру и уходу (физические лица, за исключением льготных категорий),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6 058,80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6 000,91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2 019,61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2 000,27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величина нормативных затрат на уплату налогов,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для определения объема финансового обеспечения возмещения части затрат частным образовательным о</w:t>
            </w:r>
            <w:r>
              <w:rPr>
                <w:sz w:val="22"/>
                <w:szCs w:val="22"/>
              </w:rPr>
              <w:t xml:space="preserve">рганизациям, осуществляющим образовательную деятельность по образовательным программам дошкольного образования, с учетом затрат на уплату налогов (обучающиеся, за исключением обучающихся с ограниченными возможностями здоровья (ОВЗ) и детей-инвалидов),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18 524,76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17 043,91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9 036,90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8 543,27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определения объема финансового обеспечения возмещения части затрат частным образовательным организациям, осуществляющим образовательную деятельность по образовательным программам дошкольного образования,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учета затрат на уплату налогов (обучающиеся, за исключением обучающихся с ограниченными возможностями здоровья (ОВЗ)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детей-инвалидов),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16 809,18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15 328,33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7 321,32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6 827,69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определения объема финансового обеспечения возмещения части затрат частным образовательным организациям, осуществляющим образовательную деятельность по образовательным программам </w:t>
            </w:r>
            <w:r>
              <w:rPr>
                <w:sz w:val="22"/>
                <w:szCs w:val="22"/>
              </w:rPr>
              <w:t xml:space="preserve">дошкольного образования, с учетом затрат на уплату налогов (адаптированная образовательная программа обучающихся с ограниченными возможностями здоровья (ОВЗ),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18 524,76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17 043,91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для определения объема финансового обеспечения возмещения части затрат частным образователь</w:t>
            </w:r>
            <w:r>
              <w:rPr>
                <w:sz w:val="22"/>
                <w:szCs w:val="22"/>
              </w:rPr>
              <w:t xml:space="preserve">ным организациям, осуществляющим образовательную деятельность по образовательным программам дошкольного образования, без учета затрат на уплату налогов (адаптированная образовательная программа обучающихся с ограниченными возможностями здоровья (ОВЗ),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16 809,18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15 328,33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затраты по реализации основных общеобразовательных программ дошкольного образования (обучающиеся, за исключением обучающихся с ограниченными возможностями здоровья (ОВЗ)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детей-инвалидов),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8 173,01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6 750,05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2 724,34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2 250,05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затраты по реализации основных общеобразовательных программ дошкольного образования (адаптированная образовательная программа обучающихся с ограниченными возможностями здоровья (ОВЗ),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8 173,01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6 750,05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Нормативные затраты по присмотру и уходу (физические лица, за исключением льготных категорий),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6 058,80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6 000,91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2 019,61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2 000,27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величина нормативных затрат на содержание муниципального имущества,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2 577,37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величина нормативных затрат на уплату налогов,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1 715,58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для определения объема финансового обеспечения возмещения части затрат частным образовательным организациям, осуществляющим образовательную деятельность по образовательным программам дошколь</w:t>
            </w:r>
            <w:r>
              <w:rPr>
                <w:sz w:val="22"/>
                <w:szCs w:val="22"/>
              </w:rPr>
              <w:t xml:space="preserve">ного образования, с учетом затрат на уплату налогов (обучающиеся, за исключением обучающихся с ограниченными возможностями здоровья (ОВЗ)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детей-инвалидов),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18 524,76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17 043,91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9 036,90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8 543,27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для определения объема финансового обеспечения возмещения части затрат ча</w:t>
            </w:r>
            <w:r>
              <w:rPr>
                <w:sz w:val="22"/>
                <w:szCs w:val="22"/>
              </w:rPr>
              <w:t xml:space="preserve">стным образовательным организациям, осуществляющим образовательную деятельность по образовательным программам дошкольного образования, без учета затрат на уплату налогов (обучающиеся, за исключением обучающихся с ограниченными возможностями здоровья (ОВЗ)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детей-инвалидов),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16 809,18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15 328,33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7 321,32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6 827,69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определения объема финансового обеспечения возмещения части затрат частным образовател</w:t>
            </w:r>
            <w:r>
              <w:rPr>
                <w:sz w:val="22"/>
                <w:szCs w:val="22"/>
              </w:rPr>
              <w:t xml:space="preserve">ьным организациям, осуществляющим образовательную деятельность по образовательным программам дошкольного образования, с учетом затрат на уплату налогов (адаптированная образовательная программа обучающихся с ограниченными возможностями здоровья (ОВЗ),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18 524,76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17 043,91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размер показателя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определения объема финансового обеспечения возмещения части затрат частным образовательным организациям, осуществляющим образовательную деятельность по образовательным программам дошкольного образования,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учета затрат на уплату налогов (адаптированная образовательная программа обучающихся с ограниченными возможностями здоровья (ОВЗ), руб.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16 809,18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15 328,33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headerReference w:type="defaul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3</w:t>
    </w:r>
    <w:r>
      <w:rPr>
        <w:sz w:val="28"/>
      </w:rPr>
      <w:fldChar w:fldCharType="end"/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7"/>
    <w:link w:val="721"/>
    <w:uiPriority w:val="10"/>
    <w:rPr>
      <w:sz w:val="48"/>
      <w:szCs w:val="48"/>
    </w:rPr>
  </w:style>
  <w:style w:type="character" w:styleId="37">
    <w:name w:val="Subtitle Char"/>
    <w:basedOn w:val="707"/>
    <w:link w:val="723"/>
    <w:uiPriority w:val="11"/>
    <w:rPr>
      <w:sz w:val="24"/>
      <w:szCs w:val="24"/>
    </w:rPr>
  </w:style>
  <w:style w:type="character" w:styleId="39">
    <w:name w:val="Quote Char"/>
    <w:link w:val="725"/>
    <w:uiPriority w:val="29"/>
    <w:rPr>
      <w:i/>
    </w:rPr>
  </w:style>
  <w:style w:type="character" w:styleId="41">
    <w:name w:val="Intense Quote Char"/>
    <w:link w:val="727"/>
    <w:uiPriority w:val="30"/>
    <w:rPr>
      <w:i/>
    </w:rPr>
  </w:style>
  <w:style w:type="character" w:styleId="45">
    <w:name w:val="Footer Char"/>
    <w:basedOn w:val="707"/>
    <w:link w:val="731"/>
    <w:uiPriority w:val="99"/>
  </w:style>
  <w:style w:type="character" w:styleId="47">
    <w:name w:val="Caption Char"/>
    <w:basedOn w:val="707"/>
    <w:link w:val="733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62"/>
    <w:uiPriority w:val="99"/>
    <w:rPr>
      <w:sz w:val="18"/>
    </w:rPr>
  </w:style>
  <w:style w:type="character" w:styleId="179">
    <w:name w:val="Endnote Text Char"/>
    <w:link w:val="865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next w:val="697"/>
    <w:link w:val="710"/>
    <w:qFormat/>
    <w:pPr>
      <w:ind w:right="-1" w:firstLine="709"/>
      <w:jc w:val="both"/>
      <w:keepNext/>
      <w:outlineLvl w:val="0"/>
    </w:pPr>
    <w:rPr>
      <w:sz w:val="24"/>
    </w:rPr>
  </w:style>
  <w:style w:type="paragraph" w:styleId="699">
    <w:name w:val="Heading 2"/>
    <w:basedOn w:val="697"/>
    <w:next w:val="697"/>
    <w:link w:val="711"/>
    <w:qFormat/>
    <w:pPr>
      <w:ind w:right="-1"/>
      <w:jc w:val="both"/>
      <w:keepNext/>
      <w:outlineLvl w:val="1"/>
    </w:pPr>
    <w:rPr>
      <w:sz w:val="2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rPr>
      <w:lang w:eastAsia="zh-CN"/>
    </w:rPr>
  </w:style>
  <w:style w:type="paragraph" w:styleId="721">
    <w:name w:val="Title"/>
    <w:basedOn w:val="697"/>
    <w:next w:val="69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 w:customStyle="1">
    <w:name w:val="Заголовок Знак"/>
    <w:link w:val="721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97"/>
    <w:link w:val="884"/>
    <w:uiPriority w:val="99"/>
    <w:pPr>
      <w:tabs>
        <w:tab w:val="center" w:pos="4153" w:leader="none"/>
        <w:tab w:val="right" w:pos="8306" w:leader="none"/>
      </w:tabs>
    </w:pPr>
  </w:style>
  <w:style w:type="character" w:styleId="730" w:customStyle="1">
    <w:name w:val="Header Char"/>
    <w:uiPriority w:val="99"/>
  </w:style>
  <w:style w:type="paragraph" w:styleId="731">
    <w:name w:val="Footer"/>
    <w:basedOn w:val="697"/>
    <w:link w:val="732"/>
    <w:pPr>
      <w:tabs>
        <w:tab w:val="center" w:pos="4153" w:leader="none"/>
        <w:tab w:val="right" w:pos="8306" w:leader="none"/>
      </w:tabs>
    </w:pPr>
  </w:style>
  <w:style w:type="character" w:styleId="732" w:customStyle="1">
    <w:name w:val="Нижний колонтитул Знак"/>
    <w:link w:val="731"/>
    <w:uiPriority w:val="99"/>
  </w:style>
  <w:style w:type="paragraph" w:styleId="733">
    <w:name w:val="Caption"/>
    <w:basedOn w:val="697"/>
    <w:next w:val="697"/>
    <w:link w:val="73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4" w:customStyle="1">
    <w:name w:val="Название объекта Знак"/>
    <w:link w:val="733"/>
    <w:uiPriority w:val="35"/>
    <w:rPr>
      <w:b/>
      <w:bCs/>
      <w:color w:val="4f81bd"/>
      <w:sz w:val="18"/>
      <w:szCs w:val="18"/>
    </w:rPr>
  </w:style>
  <w:style w:type="table" w:styleId="735">
    <w:name w:val="Table Grid"/>
    <w:basedOn w:val="708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3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1">
    <w:name w:val="Hyperlink"/>
    <w:uiPriority w:val="99"/>
    <w:unhideWhenUsed/>
    <w:rPr>
      <w:color w:val="0000ff"/>
      <w:u w:val="single"/>
    </w:rPr>
  </w:style>
  <w:style w:type="paragraph" w:styleId="862">
    <w:name w:val="footnote text"/>
    <w:basedOn w:val="697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97"/>
    <w:link w:val="866"/>
    <w:uiPriority w:val="99"/>
    <w:semiHidden/>
    <w:unhideWhenUsed/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697"/>
    <w:next w:val="697"/>
    <w:uiPriority w:val="39"/>
    <w:unhideWhenUsed/>
    <w:pPr>
      <w:spacing w:after="57"/>
    </w:pPr>
  </w:style>
  <w:style w:type="paragraph" w:styleId="869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0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1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2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3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4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5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6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  <w:rPr>
      <w:lang w:eastAsia="zh-CN"/>
    </w:rPr>
  </w:style>
  <w:style w:type="paragraph" w:styleId="878">
    <w:name w:val="table of figures"/>
    <w:basedOn w:val="697"/>
    <w:next w:val="697"/>
    <w:uiPriority w:val="99"/>
    <w:unhideWhenUsed/>
  </w:style>
  <w:style w:type="paragraph" w:styleId="879">
    <w:name w:val="Body Text"/>
    <w:basedOn w:val="697"/>
    <w:link w:val="886"/>
    <w:pPr>
      <w:ind w:right="3117"/>
    </w:pPr>
    <w:rPr>
      <w:rFonts w:ascii="Courier New" w:hAnsi="Courier New"/>
      <w:sz w:val="26"/>
      <w:lang w:val="en-US" w:eastAsia="en-US"/>
    </w:rPr>
  </w:style>
  <w:style w:type="paragraph" w:styleId="880">
    <w:name w:val="Body Text Indent"/>
    <w:basedOn w:val="697"/>
    <w:pPr>
      <w:ind w:right="-1"/>
      <w:jc w:val="both"/>
    </w:pPr>
    <w:rPr>
      <w:sz w:val="26"/>
    </w:rPr>
  </w:style>
  <w:style w:type="character" w:styleId="881">
    <w:name w:val="page number"/>
    <w:basedOn w:val="707"/>
  </w:style>
  <w:style w:type="paragraph" w:styleId="882">
    <w:name w:val="Balloon Text"/>
    <w:basedOn w:val="697"/>
    <w:link w:val="883"/>
    <w:rPr>
      <w:rFonts w:ascii="Segoe UI" w:hAnsi="Segoe UI"/>
      <w:sz w:val="18"/>
      <w:szCs w:val="18"/>
      <w:lang w:val="en-US" w:eastAsia="en-US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character" w:styleId="884" w:customStyle="1">
    <w:name w:val="Верхний колонтитул Знак"/>
    <w:link w:val="729"/>
    <w:uiPriority w:val="99"/>
  </w:style>
  <w:style w:type="paragraph" w:styleId="885" w:customStyle="1">
    <w:name w:val="Форма"/>
    <w:rPr>
      <w:sz w:val="28"/>
      <w:szCs w:val="28"/>
    </w:rPr>
  </w:style>
  <w:style w:type="character" w:styleId="886" w:customStyle="1">
    <w:name w:val="Основной текст Знак"/>
    <w:link w:val="879"/>
    <w:rPr>
      <w:rFonts w:ascii="Courier New" w:hAnsi="Courier New"/>
      <w:sz w:val="26"/>
    </w:rPr>
  </w:style>
  <w:style w:type="paragraph" w:styleId="887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888" w:customStyle="1">
    <w:name w:val="ConsPlusNormal"/>
    <w:pPr>
      <w:widowControl w:val="off"/>
    </w:pPr>
    <w:rPr>
      <w:rFonts w:ascii="Arial" w:hAnsi="Arial" w:cs="Arial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25</cp:revision>
  <dcterms:created xsi:type="dcterms:W3CDTF">2024-11-05T12:29:00Z</dcterms:created>
  <dcterms:modified xsi:type="dcterms:W3CDTF">2025-10-21T04:51:26Z</dcterms:modified>
  <cp:version>1048576</cp:version>
</cp:coreProperties>
</file>