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-494452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8.93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19568</wp:posOffset>
                </wp:positionV>
                <wp:extent cx="6285865" cy="1094858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4857"/>
                          <a:chOff x="0" y="0"/>
                          <a:chExt cx="6285864" cy="109485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91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3073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9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6247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54pt;mso-position-vertical:absolute;width:494.95pt;height:86.21pt;mso-wrap-distance-left:9.00pt;mso-wrap-distance-top:0.00pt;mso-wrap-distance-right:9.00pt;mso-wrap-distance-bottom:0.00pt;" coordorigin="0,0" coordsize="62858,10948">
                <v:shape id="shape 2" o:spid="_x0000_s2" o:spt="202" type="#_x0000_t202" style="position:absolute;left:0;top:0;width:62858;height:10916;visibility:visible;" fillcolor="#FFFFFF" stroked="f">
                  <v:textbox inset="0,0,0,0">
                    <w:txbxContent>
                      <w:p>
                        <w:pPr>
                          <w:pStyle w:val="74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30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9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62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right="4953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1"/>
        <w:ind w:right="4953"/>
      </w:pPr>
      <w:r/>
      <w:r/>
    </w:p>
    <w:p>
      <w:pPr>
        <w:pStyle w:val="901"/>
        <w:ind w:right="4953"/>
      </w:pPr>
      <w:r/>
      <w:r/>
    </w:p>
    <w:p>
      <w:pPr>
        <w:pStyle w:val="901"/>
        <w:ind w:right="4953"/>
      </w:pPr>
      <w:r/>
      <w:r/>
    </w:p>
    <w:p>
      <w:pPr>
        <w:pStyle w:val="901"/>
        <w:rPr>
          <w:b/>
        </w:rPr>
      </w:pPr>
      <w:r>
        <w:rPr>
          <w:b/>
        </w:rPr>
        <w:t xml:space="preserve">О внесении изменений в постановление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от 16.10.2020 № 1002 «Об утверждении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Порядка определения объема и условий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предоставления субсидий на иные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цели бюджетным и автономным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учреждениям на выполнение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предписаний надзорных органов,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приведение в нормативное состояние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и улучшение материально-технического </w:t>
      </w:r>
      <w:r>
        <w:rPr>
          <w:b/>
        </w:rPr>
      </w:r>
      <w:r>
        <w:rPr>
          <w:b/>
        </w:rPr>
      </w:r>
    </w:p>
    <w:p>
      <w:pPr>
        <w:pStyle w:val="901"/>
        <w:spacing w:line="240" w:lineRule="exact"/>
        <w:rPr>
          <w:b/>
        </w:rPr>
      </w:pPr>
      <w:r>
        <w:rPr>
          <w:b/>
        </w:rPr>
        <w:t xml:space="preserve">обеспечения» </w:t>
      </w:r>
      <w:r>
        <w:rPr>
          <w:b/>
        </w:rPr>
      </w:r>
      <w:r>
        <w:rPr>
          <w:b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16 октября</w:t>
      </w:r>
      <w:r>
        <w:rPr>
          <w:sz w:val="28"/>
          <w:szCs w:val="28"/>
        </w:rPr>
        <w:br/>
        <w:t xml:space="preserve">2020 г. № 1002 </w:t>
      </w:r>
      <w:r>
        <w:rPr>
          <w:sz w:val="28"/>
          <w:szCs w:val="28"/>
        </w:rPr>
        <w:t xml:space="preserve">«Об утверждении Порядка определения объема и условий предоставления субсидий на иные цели бюджетным и автономным учреждениям на выполнение предписаний надзорных органов, приведение в нормативное состояние и улучшение материально-технического обеспечения» (</w:t>
      </w:r>
      <w:r>
        <w:rPr>
          <w:sz w:val="28"/>
        </w:rPr>
        <w:t xml:space="preserve">в ред. от 10.02.2021 № 58,</w:t>
      </w:r>
      <w:r>
        <w:t xml:space="preserve"> </w:t>
      </w:r>
      <w:r>
        <w:rPr>
          <w:sz w:val="28"/>
        </w:rPr>
        <w:t xml:space="preserve">от 13.04.2021 № 250, от 11.06.2021 № 428, от 21.07.2021 № 533, от 10.08.2021 </w:t>
      </w:r>
      <w:r>
        <w:rPr>
          <w:sz w:val="28"/>
        </w:rPr>
        <w:br w:type="textWrapping" w:clear="all"/>
        <w:t xml:space="preserve">№ 584, от 01.10.2021 № 783, от 20.10.2021 № 912,</w:t>
      </w:r>
      <w:r>
        <w:rPr>
          <w:sz w:val="28"/>
          <w:szCs w:val="28"/>
        </w:rPr>
        <w:t xml:space="preserve"> от 16.12.2021 № 1152, </w:t>
      </w:r>
      <w:r>
        <w:rPr>
          <w:sz w:val="28"/>
          <w:szCs w:val="28"/>
        </w:rPr>
        <w:br w:type="textWrapping" w:clear="all"/>
        <w:t xml:space="preserve">от 24.12.2021 № 1215, от 10.03.2022 № 156, от 17.05.2022 № 366, от 26.09.2022 </w:t>
      </w:r>
      <w:r>
        <w:rPr>
          <w:sz w:val="28"/>
          <w:szCs w:val="28"/>
        </w:rPr>
        <w:br w:type="textWrapping" w:clear="all"/>
        <w:t xml:space="preserve">№ 858, от 27.09.2022 № 860, от 18.10.2022 № 976, от 01.12.2022 № 1222, </w:t>
      </w:r>
      <w:r>
        <w:rPr>
          <w:sz w:val="28"/>
          <w:szCs w:val="28"/>
        </w:rPr>
        <w:br w:type="textWrapping" w:clear="all"/>
        <w:t xml:space="preserve">от 12.12.2022 № 1278, от 16.12.2022 № 1298, от 09.01.2023 № 2, от 23.01.2023 </w:t>
      </w:r>
      <w:r>
        <w:rPr>
          <w:sz w:val="28"/>
          <w:szCs w:val="28"/>
        </w:rPr>
        <w:br w:type="textWrapping" w:clear="all"/>
        <w:t xml:space="preserve">№ 34, от 20.02.2023 № 126, от 04.04.2023 № 266, от 16.05.2023 № 394, </w:t>
      </w:r>
      <w:r>
        <w:rPr>
          <w:sz w:val="28"/>
          <w:szCs w:val="28"/>
        </w:rPr>
        <w:br w:type="textWrapping" w:clear="all"/>
        <w:t xml:space="preserve">от 26.05.2023 № 428, от 09.08.2023 № 688, от 13.10.2023 № 1034, от 17.10.2023 </w:t>
      </w:r>
      <w:r>
        <w:rPr>
          <w:sz w:val="28"/>
          <w:szCs w:val="28"/>
        </w:rPr>
        <w:br w:type="textWrapping" w:clear="all"/>
        <w:t xml:space="preserve">№ 1055, от 24.11.2023 № 1301, от 27.11.2023 № 1314, от 14.12.2023 № 1407, </w:t>
      </w:r>
      <w:r>
        <w:rPr>
          <w:sz w:val="28"/>
          <w:szCs w:val="28"/>
        </w:rPr>
        <w:br w:type="textWrapping" w:clear="all"/>
        <w:t xml:space="preserve">от 28.02.2024 № 147, от 20.03.2024 № 206, от 14.06.2024 № 490, от 27.06.2024 </w:t>
      </w:r>
      <w:r>
        <w:rPr>
          <w:sz w:val="28"/>
          <w:szCs w:val="28"/>
        </w:rPr>
        <w:br w:type="textWrapping" w:clear="all"/>
        <w:t xml:space="preserve">№ 541, от 04.09.2024 № 736, от 04.10.2024 № 830, от 18.10.2024 № 976, </w:t>
      </w:r>
      <w:r>
        <w:rPr>
          <w:sz w:val="28"/>
          <w:szCs w:val="28"/>
        </w:rPr>
        <w:br/>
        <w:t xml:space="preserve">от 27.11.2024 № 1141, от 02.12.2024 № 1156, от 20.12.2024 № 1256)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 </w:t>
      </w:r>
      <w:bookmarkStart w:id="0" w:name="_Hlk209012417"/>
      <w:r>
        <w:rPr>
          <w:sz w:val="28"/>
          <w:szCs w:val="28"/>
        </w:rPr>
        <w:t xml:space="preserve">слова «выполнение предписаний надзорных органов,» исключить;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 слова «выполнение предписаний надзорных органов,»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1" w:name="_Hlk209010141"/>
      <w:r>
        <w:rPr>
          <w:sz w:val="28"/>
          <w:szCs w:val="28"/>
        </w:rPr>
        <w:t xml:space="preserve">2. Внести в Порядок определения объема и условий предоставления субсидий на иные</w:t>
      </w:r>
      <w:r>
        <w:rPr>
          <w:sz w:val="28"/>
          <w:szCs w:val="28"/>
        </w:rPr>
        <w:t xml:space="preserve"> цели бюджетным и автономным учреждениям на выполнение предписаний надзорных органов, приведение в нормативное состояние и улучшение материально-технического обеспечения, утвержденный постановлением администрации города Перми от 16 октября 2020 г. № 1002 (</w:t>
      </w:r>
      <w:r>
        <w:rPr>
          <w:sz w:val="28"/>
        </w:rPr>
        <w:t xml:space="preserve">в ред. от 10.02.2021 № 58,</w:t>
      </w:r>
      <w:r>
        <w:t xml:space="preserve"> </w:t>
      </w:r>
      <w:r>
        <w:br w:type="textWrapping" w:clear="all"/>
      </w:r>
      <w:r>
        <w:rPr>
          <w:sz w:val="28"/>
        </w:rPr>
        <w:t xml:space="preserve">от 13.04.2021 № 250, от 11.06.2021 № 428, от 21.07.2021 № 533, от 10.08.2021 </w:t>
      </w:r>
      <w:r>
        <w:rPr>
          <w:sz w:val="28"/>
        </w:rPr>
        <w:br w:type="textWrapping" w:clear="all"/>
        <w:t xml:space="preserve">№ 584, от 01.10.2021 № 783, от 20.10.2021 № 912,</w:t>
      </w:r>
      <w:r>
        <w:rPr>
          <w:sz w:val="28"/>
          <w:szCs w:val="28"/>
        </w:rPr>
        <w:t xml:space="preserve"> от 16.12.2021 № 1152, </w:t>
      </w:r>
      <w:r>
        <w:rPr>
          <w:sz w:val="28"/>
          <w:szCs w:val="28"/>
        </w:rPr>
        <w:br w:type="textWrapping" w:clear="all"/>
        <w:t xml:space="preserve">от 24.12.2021 № 1215, от 10.03.2022 № 156, от 17.05.2022 № 366, от 26.09.2022 </w:t>
      </w:r>
      <w:r>
        <w:rPr>
          <w:sz w:val="28"/>
          <w:szCs w:val="28"/>
        </w:rPr>
        <w:br w:type="textWrapping" w:clear="all"/>
        <w:t xml:space="preserve">№ 858, от 27.09.2022 № 860, от 18.10.2022 № 976, от 01.12.2022 № 1222, </w:t>
      </w:r>
      <w:r>
        <w:rPr>
          <w:sz w:val="28"/>
          <w:szCs w:val="28"/>
        </w:rPr>
        <w:br w:type="textWrapping" w:clear="all"/>
        <w:t xml:space="preserve">от 12.12.2022 № 1278, от 16.12.2022 № 1298, от 09.01.2023 № 2, от 23.01.2023 </w:t>
      </w:r>
      <w:r>
        <w:rPr>
          <w:sz w:val="28"/>
          <w:szCs w:val="28"/>
        </w:rPr>
        <w:br w:type="textWrapping" w:clear="all"/>
        <w:t xml:space="preserve">№ 34, от 20.02.2023 № 126, от 04.04.2023 № 266, от 16.05.2023 № 394, </w:t>
      </w:r>
      <w:r>
        <w:rPr>
          <w:sz w:val="28"/>
          <w:szCs w:val="28"/>
        </w:rPr>
        <w:br w:type="textWrapping" w:clear="all"/>
        <w:t xml:space="preserve">от 26.05.2023 № 428, от 09.08.2023 № 688, от 13.10.2023 № 1034, от 17.10.2023 </w:t>
      </w:r>
      <w:r>
        <w:rPr>
          <w:sz w:val="28"/>
          <w:szCs w:val="28"/>
        </w:rPr>
        <w:br w:type="textWrapping" w:clear="all"/>
        <w:t xml:space="preserve">№ 1055, от 24.11.2023 № 1301, от 27.11.2023 № 1314, от 14.12.2023 № 1407, </w:t>
      </w:r>
      <w:r>
        <w:rPr>
          <w:sz w:val="28"/>
          <w:szCs w:val="28"/>
        </w:rPr>
        <w:br w:type="textWrapping" w:clear="all"/>
        <w:t xml:space="preserve">от 28.02.2024 № 147, от 20.03.2024 № 206, от 14.06.2024 № 490, от 27.06.2024 </w:t>
      </w:r>
      <w:r>
        <w:rPr>
          <w:sz w:val="28"/>
          <w:szCs w:val="28"/>
        </w:rPr>
        <w:br w:type="textWrapping" w:clear="all"/>
        <w:t xml:space="preserve">№ 541, от 04.09.2024 № 736, от 04.10.2024 № 830, от 18.10.2024 № 976, </w:t>
      </w:r>
      <w:r>
        <w:rPr>
          <w:sz w:val="28"/>
          <w:szCs w:val="28"/>
        </w:rPr>
        <w:br/>
        <w:t xml:space="preserve">от 27.11.2024 № 1141, от 02.12.2024 № 1156, от 20.12.2024 № 1256),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наименовании слова «выполнение предписаний надзорных органов,»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 слова «выполнение предписаний надзорных органов,» исключить;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пункте 1.4: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в абзаце пятом </w:t>
      </w:r>
      <w:bookmarkStart w:id="2" w:name="_Hlk211506347"/>
      <w:r>
        <w:rPr>
          <w:sz w:val="28"/>
          <w:szCs w:val="28"/>
        </w:rPr>
        <w:t xml:space="preserve">после слова «оснащение» дополнить словами «(в том числе монтаж)»;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«Субсидии на иные цели в части направления расходов, указанных в абзаце втором пункта </w:t>
      </w:r>
      <w:r>
        <w:rPr>
          <w:sz w:val="28"/>
          <w:szCs w:val="28"/>
        </w:rPr>
        <w:t xml:space="preserve">1.4 настоящего Порядка, предоставляются Учреждениям на оплату муниципальных контрактов, заключенных до 01 сентября 2025 г., и муниципальных контрактов, процедура определения поставщиков (подрядчиков, исполнителей) по которым начата до 01 сентября 2025 г.»;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пункт 2.1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Для получения субсидий на иные цели Учреждения направляют в Департамент: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пояснительную записку, содержащую обоснование необходимости предоставления субсидий на иные цели;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расчет-обоснование</w:t>
      </w:r>
      <w:r>
        <w:rPr>
          <w:color w:val="000000"/>
          <w:sz w:val="28"/>
          <w:szCs w:val="28"/>
          <w14:ligatures w14:val="standardContextual"/>
        </w:rPr>
        <w:t xml:space="preserve"> с</w:t>
      </w:r>
      <w:r>
        <w:rPr>
          <w:sz w:val="28"/>
          <w:szCs w:val="28"/>
          <w14:ligatures w14:val="standardContextual"/>
        </w:rPr>
        <w:t xml:space="preserve">уммы субсидий на иные цели согласно приложению 1 к настоящему Порядку;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перечень объектов, подлежащих ремонту;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акт обследования объектов, подлежащих ремонту;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дефектную ведомость;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предварительную смету на выполнение соответствующих работ (оказание услуг), согласованную муниципальным казенным учреждением «Административно-хозяйственная служба системы образования»</w:t>
      </w:r>
      <w:bookmarkStart w:id="3" w:name="P81"/>
      <w:r/>
      <w:bookmarkEnd w:id="3"/>
      <w:r>
        <w:rPr>
          <w:sz w:val="28"/>
          <w:szCs w:val="28"/>
          <w14:ligatures w14:val="standardContextual"/>
        </w:rPr>
        <w:t xml:space="preserve"> города Перми, обоснования цены материалов (оборудования), включенных в локальные сметные расчеты на </w:t>
      </w:r>
      <w:r>
        <w:rPr>
          <w:sz w:val="28"/>
          <w:szCs w:val="28"/>
          <w14:ligatures w14:val="standardContextual"/>
        </w:rPr>
        <w:t xml:space="preserve">основании прайс-листов, коммерческих предложений с приложением не менее трех ценовых информаций;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перечень имущества, планируемого к приобретению (за исключением недвижимого), на основании прайс-листов, коммерческих предложений с приложением не менее трех ценовых информаций;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widowControl w:val="off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  <w:r>
        <w:rPr>
          <w:sz w:val="28"/>
          <w:szCs w:val="28"/>
          <w14:ligatures w14:val="standardContextual"/>
        </w:rPr>
      </w:r>
      <w:r>
        <w:rPr>
          <w:sz w:val="28"/>
          <w:szCs w:val="28"/>
          <w14:ligatures w14:val="standardContextual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изменения (перераспределения) утвержденных объемов субсидий на иные цели в течение текущего года Учреждения направляют в Департамент документы, указанные в абзацах втором-восьмом пункта 2.1 настоящего Порядка, до 20 числа текущего месяца.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Учреждениями </w:t>
      </w:r>
      <w:r>
        <w:rPr>
          <w:sz w:val="28"/>
          <w:szCs w:val="28"/>
        </w:rPr>
        <w:t xml:space="preserve">документ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Департамент принимает меры по уточнению объемов субсидий на иные цели.»;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пункт 2.2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</w:rPr>
        <w:br/>
        <w:t xml:space="preserve">в соответствии с пунктом 2.1 настоящего Порядка осуществляются Департаментом в течение 10 рабочих дней с даты их представления. Размер субсидий на иные цели в разрезе Учреждений устанавл</w:t>
      </w:r>
      <w:r>
        <w:rPr>
          <w:sz w:val="28"/>
          <w:szCs w:val="28"/>
        </w:rPr>
        <w:t xml:space="preserve">ивается приказом начальника Департамента с учетом протокола комиссии по отбору и ранжированию объектов муниципальной собственности, подлежащих ремонту и приведению в нормативное состояние по функционально-целевому блоку «Социальная сфера» (далее – Приказ).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пункте 2.5.1 слова «выполнение работ по капитальному ремонту,»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пункте 2.5.2 </w:t>
      </w:r>
      <w:r>
        <w:rPr>
          <w:sz w:val="28"/>
          <w:szCs w:val="28"/>
        </w:rPr>
        <w:t xml:space="preserve">после слова «оснащение» дополнить словами «(в том числе монтаж)»;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абзаце втором пункта 2.9 после слов «бюджетную роспись» дополнить словом «, Приказ»;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пункт 2.13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«2.13. Результатом предоставления субсидии на иные цели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 xml:space="preserve">имущественных комплексов Учреждений</w:t>
      </w:r>
      <w:r>
        <w:rPr>
          <w:sz w:val="28"/>
          <w:szCs w:val="28"/>
        </w:rPr>
        <w:t xml:space="preserve">, в которых </w:t>
      </w:r>
      <w:r>
        <w:rPr>
          <w:sz w:val="28"/>
          <w:szCs w:val="28"/>
        </w:rPr>
        <w:t xml:space="preserve">выполнены</w:t>
      </w:r>
      <w:r>
        <w:rPr>
          <w:sz w:val="28"/>
          <w:szCs w:val="28"/>
        </w:rPr>
        <w:t xml:space="preserve"> работы по </w:t>
      </w:r>
      <w:r>
        <w:rPr>
          <w:sz w:val="28"/>
          <w:szCs w:val="28"/>
        </w:rPr>
        <w:t xml:space="preserve">текущему ремонту</w:t>
      </w:r>
      <w:r>
        <w:rPr>
          <w:sz w:val="28"/>
          <w:szCs w:val="28"/>
        </w:rPr>
        <w:t xml:space="preserve">, приобретено техническое оснащение</w:t>
      </w:r>
      <w:r>
        <w:rPr>
          <w:sz w:val="28"/>
          <w:szCs w:val="28"/>
        </w:rPr>
        <w:t xml:space="preserve"> (в том числе монтаж)</w:t>
      </w:r>
      <w:r>
        <w:rPr>
          <w:sz w:val="28"/>
          <w:szCs w:val="28"/>
        </w:rPr>
        <w:t xml:space="preserve">, в которых созданы модельные муниципальные библиотеки, для которых приобретено техническое оснащение</w:t>
      </w:r>
      <w:r>
        <w:rPr>
          <w:sz w:val="28"/>
          <w:szCs w:val="28"/>
        </w:rPr>
        <w:t xml:space="preserve"> (в том числе монтаж)</w:t>
      </w:r>
      <w:r>
        <w:rPr>
          <w:sz w:val="28"/>
          <w:szCs w:val="28"/>
        </w:rPr>
        <w:t xml:space="preserve">, автоматизированные комплексы самостоятельного обслуживания пользователей библиотек и проведены мероприятия по комплектованию книжных фондов в рамках выполнения мероприятий муниципальной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на иные цели устанавливается Соглашением.»;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пункт 3.1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Соглашении, представляют в Департамент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субсидии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</w:t>
      </w:r>
      <w:r>
        <w:rPr>
          <w:sz w:val="28"/>
          <w:szCs w:val="28"/>
        </w:rPr>
        <w:t xml:space="preserve">достижению результатов предоставления субсидии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пункт 3.3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«3.3. Ответственность за своевременное представление Отчетов и достоверность отчетных данных возлагается на руководителей Учреждений.»;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приложение 1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</w:t>
      </w:r>
      <w:r>
        <w:rPr>
          <w:sz w:val="28"/>
          <w:szCs w:val="28"/>
        </w:rPr>
        <w:t xml:space="preserve">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2.</w:t>
      </w:r>
      <w:r>
        <w:rPr>
          <w:sz w:val="28"/>
          <w:szCs w:val="28"/>
        </w:rPr>
        <w:t xml:space="preserve">3.3 настоящего постановления, который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действует по 31 декабря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</w:t>
      </w:r>
      <w:r>
        <w:rPr>
          <w:sz w:val="28"/>
          <w:szCs w:val="28"/>
          <w:lang w:eastAsia="en-US"/>
        </w:rPr>
        <w:tab/>
        <w:t xml:space="preserve">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7200" w:hanging="1388"/>
        <w:spacing w:line="240" w:lineRule="exact"/>
        <w:rPr>
          <w:sz w:val="28"/>
          <w:szCs w:val="28"/>
          <w:lang w:eastAsia="en-US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993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7200" w:hanging="1388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811"/>
        <w:spacing w:line="240" w:lineRule="exact"/>
        <w:tabs>
          <w:tab w:val="left" w:pos="595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постановлению администрации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811"/>
        <w:spacing w:line="240" w:lineRule="exact"/>
        <w:tabs>
          <w:tab w:val="left" w:pos="595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Перми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811"/>
        <w:spacing w:line="240" w:lineRule="exact"/>
        <w:tabs>
          <w:tab w:val="left" w:pos="595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</w:t>
      </w:r>
      <w:r>
        <w:rPr>
          <w:sz w:val="28"/>
          <w:szCs w:val="28"/>
          <w:lang w:eastAsia="en-US"/>
        </w:rPr>
        <w:t xml:space="preserve"> 20.10.2025 № 856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субсидии на иные цели на приведение в нормативное состояние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улучшение материально-технического обеспечения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учреждения, адрес)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20___ год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7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073"/>
        <w:gridCol w:w="1701"/>
        <w:gridCol w:w="227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субсидии на иные цели*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работ (услуг)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(тыс. руб.)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73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Субсидии на иные цели на приведение в нормативное состояние и улучшение материально-технического обеспечения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47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0047"/>
      </w:tblGrid>
      <w:tr>
        <w:tblPrEx/>
        <w:trPr/>
        <w:tc>
          <w:tcPr>
            <w:tcW w:w="10047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__________________________________________________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(подпись, 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5"/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(дата заполнения)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пунктом 2.5 Порядка определения объема и условий предоставления субсидий на иные цели бюджетным и автономным учреждениям на приведение в нормативное состояние и улучшение материально-технического обеспечения.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99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separate"/>
    </w:r>
    <w:r>
      <w:rPr>
        <w:rStyle w:val="897"/>
      </w:rPr>
      <w:t xml:space="preserve">4</w: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paragraph" w:styleId="695">
    <w:name w:val="Heading 1"/>
    <w:basedOn w:val="694"/>
    <w:next w:val="694"/>
    <w:link w:val="89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696">
    <w:name w:val="Heading 2"/>
    <w:basedOn w:val="694"/>
    <w:next w:val="694"/>
    <w:link w:val="89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697">
    <w:name w:val="Heading 3"/>
    <w:basedOn w:val="694"/>
    <w:next w:val="694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4"/>
    <w:uiPriority w:val="10"/>
    <w:rPr>
      <w:sz w:val="48"/>
      <w:szCs w:val="48"/>
    </w:rPr>
  </w:style>
  <w:style w:type="character" w:styleId="715" w:customStyle="1">
    <w:name w:val="Subtitle Char"/>
    <w:basedOn w:val="704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Caption Char"/>
    <w:basedOn w:val="704"/>
    <w:uiPriority w:val="35"/>
    <w:rPr>
      <w:b/>
      <w:bCs/>
      <w:color w:val="4f81bd" w:themeColor="accent1"/>
      <w:sz w:val="18"/>
      <w:szCs w:val="18"/>
    </w:rPr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694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rPr>
      <w:lang w:eastAsia="zh-CN"/>
    </w:rPr>
  </w:style>
  <w:style w:type="paragraph" w:styleId="732">
    <w:name w:val="Title"/>
    <w:basedOn w:val="694"/>
    <w:next w:val="694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Заголовок Знак"/>
    <w:link w:val="732"/>
    <w:uiPriority w:val="10"/>
    <w:rPr>
      <w:sz w:val="48"/>
      <w:szCs w:val="48"/>
    </w:rPr>
  </w:style>
  <w:style w:type="paragraph" w:styleId="734">
    <w:name w:val="Subtitle"/>
    <w:basedOn w:val="694"/>
    <w:next w:val="694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link w:val="734"/>
    <w:uiPriority w:val="11"/>
    <w:rPr>
      <w:sz w:val="24"/>
      <w:szCs w:val="24"/>
    </w:rPr>
  </w:style>
  <w:style w:type="paragraph" w:styleId="736">
    <w:name w:val="Quote"/>
    <w:basedOn w:val="694"/>
    <w:next w:val="694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694"/>
    <w:next w:val="694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694"/>
    <w:link w:val="898"/>
    <w:uiPriority w:val="99"/>
    <w:pPr>
      <w:tabs>
        <w:tab w:val="center" w:pos="4153" w:leader="none"/>
        <w:tab w:val="right" w:pos="8306" w:leader="none"/>
      </w:tabs>
    </w:pPr>
  </w:style>
  <w:style w:type="character" w:styleId="741" w:customStyle="1">
    <w:name w:val="Header Char"/>
    <w:uiPriority w:val="99"/>
  </w:style>
  <w:style w:type="paragraph" w:styleId="742">
    <w:name w:val="Footer"/>
    <w:basedOn w:val="694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743" w:customStyle="1">
    <w:name w:val="Footer Char"/>
    <w:uiPriority w:val="99"/>
  </w:style>
  <w:style w:type="paragraph" w:styleId="744">
    <w:name w:val="Caption"/>
    <w:basedOn w:val="694"/>
    <w:next w:val="694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5" w:customStyle="1">
    <w:name w:val="Название объекта Знак"/>
    <w:link w:val="744"/>
    <w:uiPriority w:val="35"/>
    <w:rPr>
      <w:b/>
      <w:bCs/>
      <w:color w:val="4f81bd"/>
      <w:sz w:val="18"/>
      <w:szCs w:val="18"/>
    </w:rPr>
  </w:style>
  <w:style w:type="table" w:styleId="746">
    <w:name w:val="Table Grid"/>
    <w:basedOn w:val="705"/>
    <w:tblPr/>
  </w:style>
  <w:style w:type="table" w:styleId="74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2">
    <w:name w:val="Hyperlink"/>
    <w:uiPriority w:val="99"/>
    <w:unhideWhenUsed/>
    <w:rPr>
      <w:color w:val="0000ff"/>
      <w:u w:val="single"/>
    </w:rPr>
  </w:style>
  <w:style w:type="paragraph" w:styleId="873">
    <w:name w:val="footnote text"/>
    <w:basedOn w:val="694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694"/>
    <w:link w:val="877"/>
    <w:uiPriority w:val="99"/>
    <w:semiHidden/>
    <w:unhideWhenUsed/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694"/>
    <w:next w:val="694"/>
    <w:uiPriority w:val="39"/>
    <w:unhideWhenUsed/>
    <w:pPr>
      <w:spacing w:after="57"/>
    </w:pPr>
  </w:style>
  <w:style w:type="paragraph" w:styleId="880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1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2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3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4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5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6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7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  <w:rPr>
      <w:lang w:eastAsia="zh-CN"/>
    </w:rPr>
  </w:style>
  <w:style w:type="paragraph" w:styleId="889">
    <w:name w:val="table of figures"/>
    <w:basedOn w:val="694"/>
    <w:next w:val="694"/>
    <w:uiPriority w:val="99"/>
    <w:unhideWhenUsed/>
  </w:style>
  <w:style w:type="character" w:styleId="890" w:customStyle="1">
    <w:name w:val="Заголовок 1 Знак"/>
    <w:link w:val="695"/>
    <w:rPr>
      <w:sz w:val="24"/>
    </w:rPr>
  </w:style>
  <w:style w:type="character" w:styleId="891" w:customStyle="1">
    <w:name w:val="Заголовок 2 Знак"/>
    <w:link w:val="696"/>
    <w:rPr>
      <w:sz w:val="24"/>
    </w:rPr>
  </w:style>
  <w:style w:type="paragraph" w:styleId="892">
    <w:name w:val="Body Text"/>
    <w:basedOn w:val="694"/>
    <w:link w:val="893"/>
    <w:pPr>
      <w:ind w:right="3117"/>
    </w:pPr>
    <w:rPr>
      <w:rFonts w:ascii="Courier New" w:hAnsi="Courier New"/>
      <w:sz w:val="26"/>
      <w:lang w:val="en-US" w:eastAsia="en-US"/>
    </w:rPr>
  </w:style>
  <w:style w:type="character" w:styleId="893" w:customStyle="1">
    <w:name w:val="Основной текст Знак"/>
    <w:link w:val="892"/>
    <w:rPr>
      <w:rFonts w:ascii="Courier New" w:hAnsi="Courier New"/>
      <w:sz w:val="26"/>
    </w:rPr>
  </w:style>
  <w:style w:type="paragraph" w:styleId="894">
    <w:name w:val="Body Text Indent"/>
    <w:basedOn w:val="694"/>
    <w:link w:val="895"/>
    <w:pPr>
      <w:ind w:right="-1"/>
      <w:jc w:val="both"/>
    </w:pPr>
    <w:rPr>
      <w:sz w:val="26"/>
      <w:lang w:val="en-US" w:eastAsia="en-US"/>
    </w:rPr>
  </w:style>
  <w:style w:type="character" w:styleId="895" w:customStyle="1">
    <w:name w:val="Основной текст с отступом Знак"/>
    <w:link w:val="894"/>
    <w:rPr>
      <w:sz w:val="26"/>
    </w:rPr>
  </w:style>
  <w:style w:type="character" w:styleId="896" w:customStyle="1">
    <w:name w:val="Нижний колонтитул Знак"/>
    <w:basedOn w:val="704"/>
    <w:link w:val="742"/>
    <w:uiPriority w:val="99"/>
  </w:style>
  <w:style w:type="character" w:styleId="897">
    <w:name w:val="page number"/>
    <w:basedOn w:val="704"/>
  </w:style>
  <w:style w:type="character" w:styleId="898" w:customStyle="1">
    <w:name w:val="Верхний колонтитул Знак"/>
    <w:link w:val="740"/>
    <w:uiPriority w:val="99"/>
  </w:style>
  <w:style w:type="paragraph" w:styleId="899">
    <w:name w:val="Balloon Text"/>
    <w:basedOn w:val="694"/>
    <w:link w:val="900"/>
    <w:rPr>
      <w:rFonts w:ascii="Segoe UI" w:hAnsi="Segoe UI"/>
      <w:sz w:val="18"/>
      <w:szCs w:val="18"/>
      <w:lang w:val="en-US" w:eastAsia="en-US"/>
    </w:rPr>
  </w:style>
  <w:style w:type="character" w:styleId="900" w:customStyle="1">
    <w:name w:val="Текст выноски Знак"/>
    <w:link w:val="899"/>
    <w:rPr>
      <w:rFonts w:ascii="Segoe UI" w:hAnsi="Segoe UI" w:cs="Segoe UI"/>
      <w:sz w:val="18"/>
      <w:szCs w:val="18"/>
    </w:rPr>
  </w:style>
  <w:style w:type="paragraph" w:styleId="901" w:customStyle="1">
    <w:name w:val="Форма"/>
    <w:rPr>
      <w:sz w:val="28"/>
      <w:szCs w:val="28"/>
    </w:rPr>
  </w:style>
  <w:style w:type="paragraph" w:styleId="902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03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04">
    <w:name w:val="Normal (Web)"/>
    <w:basedOn w:val="69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5" w:customStyle="1">
    <w:name w:val="Обычный (Интернет)1"/>
    <w:basedOn w:val="69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24</cp:revision>
  <dcterms:created xsi:type="dcterms:W3CDTF">2025-10-16T05:42:00Z</dcterms:created>
  <dcterms:modified xsi:type="dcterms:W3CDTF">2025-10-21T05:41:24Z</dcterms:modified>
  <cp:version>1048576</cp:version>
</cp:coreProperties>
</file>