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6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21.10.2025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860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6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21.10.2025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860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spacing w:line="240" w:lineRule="exact"/>
        <w:rPr>
          <w:sz w:val="32"/>
          <w:szCs w:val="28"/>
        </w:rPr>
      </w:pPr>
      <w:r>
        <w:rPr>
          <w:sz w:val="32"/>
          <w:szCs w:val="28"/>
        </w:rPr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890"/>
        <w:ind w:right="5387"/>
        <w:spacing w:line="240" w:lineRule="exact"/>
        <w:rPr>
          <w:b/>
        </w:rPr>
      </w:pPr>
      <w:r/>
      <w:bookmarkStart w:id="0" w:name="_Hlk202792004"/>
      <w:r>
        <w:rPr>
          <w:b/>
        </w:rPr>
        <w:t xml:space="preserve">О внесении изменений </w:t>
      </w:r>
      <w:r>
        <w:rPr>
          <w:b/>
        </w:rPr>
        <w:br/>
        <w:t xml:space="preserve">в постановление администрации города Перми от 14.10.2020 № 971</w:t>
      </w:r>
      <w:r>
        <w:rPr>
          <w:b/>
        </w:rPr>
      </w:r>
      <w:r>
        <w:rPr>
          <w:b/>
        </w:rPr>
      </w:r>
    </w:p>
    <w:p>
      <w:pPr>
        <w:pStyle w:val="890"/>
        <w:ind w:right="5387"/>
        <w:spacing w:line="240" w:lineRule="exact"/>
        <w:rPr>
          <w:b/>
          <w:bCs/>
        </w:rPr>
      </w:pPr>
      <w:r>
        <w:rPr>
          <w:b/>
        </w:rPr>
        <w:t xml:space="preserve">«</w:t>
      </w:r>
      <w:r>
        <w:rPr>
          <w:b/>
        </w:rPr>
        <w:t xml:space="preserve">Об утверждении Порядка </w:t>
      </w:r>
      <w:r>
        <w:rPr>
          <w:b/>
        </w:rPr>
        <w:br/>
        <w:t xml:space="preserve">определения объема и условий предоставления субсидий на иные цели бюджетным и автономным учреждениям, подведомственным департаменту образования </w:t>
      </w:r>
      <w:r>
        <w:rPr>
          <w:b/>
        </w:rPr>
        <w:br/>
        <w:t xml:space="preserve">администрации города </w:t>
      </w:r>
      <w:r>
        <w:rPr>
          <w:b/>
        </w:rPr>
        <w:t xml:space="preserve">Перми,</w:t>
      </w:r>
      <w:r>
        <w:rPr>
          <w:b/>
        </w:rPr>
        <w:br/>
        <w:t xml:space="preserve">на</w:t>
      </w:r>
      <w:r>
        <w:rPr>
          <w:b/>
        </w:rPr>
        <w:t xml:space="preserve"> взносы на капитальный </w:t>
      </w:r>
      <w:r>
        <w:rPr>
          <w:b/>
        </w:rPr>
        <w:br/>
        <w:t xml:space="preserve">ремонт общего имущества </w:t>
      </w:r>
      <w:r>
        <w:rPr>
          <w:b/>
        </w:rPr>
        <w:br/>
        <w:t xml:space="preserve">в многоквартирных домах</w:t>
      </w:r>
      <w:r>
        <w:rPr>
          <w:b/>
        </w:rPr>
        <w:t xml:space="preserve">»</w:t>
      </w:r>
      <w:r>
        <w:rPr>
          <w:b/>
        </w:rPr>
        <w:t xml:space="preserve"> </w:t>
      </w:r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89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14 октября </w:t>
      </w:r>
      <w:r>
        <w:rPr>
          <w:sz w:val="28"/>
          <w:szCs w:val="28"/>
        </w:rPr>
        <w:br/>
        <w:t xml:space="preserve">2020 г. № 971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</w:t>
      </w:r>
      <w:r>
        <w:rPr>
          <w:sz w:val="28"/>
          <w:szCs w:val="28"/>
        </w:rPr>
        <w:t xml:space="preserve">нии Порядка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на взносы на капитальный ремонт общего имущества в многоквартирных домах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br/>
        <w:t xml:space="preserve">от 03.02.2021 № 38, от 11.03.2021 № 146, от 28.04.2021 № 314, от 31.08.2021 № 645, от 10.06.2022 № 466, от 05.09.2022 № 742, от 20.10.2022 № 1007, от 08.09.2023 </w:t>
      </w:r>
      <w:r>
        <w:rPr>
          <w:sz w:val="28"/>
          <w:szCs w:val="28"/>
        </w:rPr>
        <w:br/>
        <w:t xml:space="preserve">№ 823, </w:t>
      </w:r>
      <w:r>
        <w:rPr>
          <w:sz w:val="28"/>
          <w:szCs w:val="28"/>
        </w:rPr>
        <w:t xml:space="preserve">от 26.12.2023 № 1490, от 21.06.2024 № 527, от 17.10.2024 № 913, </w:t>
      </w:r>
      <w:r>
        <w:rPr>
          <w:sz w:val="28"/>
          <w:szCs w:val="28"/>
        </w:rPr>
        <w:br/>
        <w:t xml:space="preserve">от 09.12.2024 № 1197, от 18.08.2025 № 559)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преамбул</w:t>
      </w:r>
      <w:r>
        <w:rPr>
          <w:sz w:val="28"/>
          <w:szCs w:val="28"/>
        </w:rPr>
        <w:t xml:space="preserve">у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абзацем вторым пункта 1 статьи 78.1 Бюджетного кодекса Российской Федерации, Федеральным законом от 07 декабря 2011 г. № 416-ФЗ </w:t>
      </w:r>
      <w:r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№ 406 «О государственном регулировании тарифов в сфере водоснабжения и водоотведения», от 22 февраля 2020 г. № 203 </w:t>
      </w:r>
      <w:r>
        <w:rPr>
          <w:sz w:val="28"/>
          <w:szCs w:val="28"/>
        </w:rPr>
        <w:br/>
        <w:t xml:space="preserve">«Об общих требованиях к нормативным пр</w:t>
      </w:r>
      <w:r>
        <w:rPr>
          <w:sz w:val="28"/>
          <w:szCs w:val="28"/>
        </w:rPr>
        <w:t xml:space="preserve">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Законом Пермского края от 11 марта 2014 г. № 304-ПК «О системе капитального ремонта </w:t>
      </w:r>
      <w:r>
        <w:rPr>
          <w:sz w:val="28"/>
          <w:szCs w:val="28"/>
        </w:rPr>
        <w:t xml:space="preserve">общего имущества в многоквартирных домах, расположенных на территории Пермского края»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наименовании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 взносы на капитальный ремонт общего имущества в многоквартирных домах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 обязательные платежи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пользование имуществом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пункте 1 слова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 взносы на капитальный ремонт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на обязательные платежи за пользование имуществом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Внести в Порядок определения объема и условий предоставления субсидий на иные цели бюджетным и авт</w:t>
      </w:r>
      <w:r>
        <w:rPr>
          <w:sz w:val="28"/>
          <w:szCs w:val="28"/>
        </w:rPr>
        <w:t xml:space="preserve">ономным учреждениям, подведомственным департаменту образования администрации города Перми, на взносы на капитальный ремонт общего имущества в многоквартирных домах, утвержденный постановлением администрации города Перми от 14 октября 2020 г. № 971 (в ред. </w:t>
      </w:r>
      <w:r>
        <w:rPr>
          <w:sz w:val="28"/>
          <w:szCs w:val="28"/>
        </w:rPr>
        <w:br/>
        <w:t xml:space="preserve">от 03.02.2021 № 38, от 11.03.2021 № 146, от 28.04.2021 № 314, от 31.08.2021 № 645, от 10.06.2022 № 466, от 05.09.2022 № 742, от 20.10.2022, № 1007, от 08.09.2023 </w:t>
      </w:r>
      <w:r>
        <w:rPr>
          <w:sz w:val="28"/>
          <w:szCs w:val="28"/>
        </w:rPr>
        <w:br/>
        <w:t xml:space="preserve">№ 823, от 26.12.2023 № 1490, от 21.06.2024 № 527, от 17.10.2024 № 913, </w:t>
      </w:r>
      <w:r>
        <w:rPr>
          <w:sz w:val="28"/>
          <w:szCs w:val="28"/>
        </w:rPr>
        <w:br/>
        <w:t xml:space="preserve">от 09.12.2024 № 1197, от 18.08.2025 № 559)</w:t>
      </w:r>
      <w:r>
        <w:rPr>
          <w:bCs/>
          <w:sz w:val="28"/>
          <w:szCs w:val="28"/>
        </w:rPr>
        <w:t xml:space="preserve">, следующие изменения: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в наименовании слова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на взносы на капитальный ремонт общего имущества в многоквартирных домах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на обязательные платежи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за пользование имуществом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в пункте 1.1 слова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на взносы на капитальный ремонт общего имущества в многоквартирных домах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заменить словами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на обязательные платежи </w:t>
      </w:r>
      <w:r>
        <w:rPr>
          <w:bCs/>
          <w:sz w:val="28"/>
          <w:szCs w:val="28"/>
        </w:rPr>
        <w:br/>
        <w:t xml:space="preserve">за пользование имуществом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пункт 1.3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1.3. Целью предоставления субсидий на иные цели является своевременное исполнение обязанностей по уплате образовательными организациями обязательных платежей за пользование имуществом в рамках выполнения мероприятия муниципальной программы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Доступное и качественное образование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пункт 1.5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1.5. Субсидии на иные цели направляются на: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1.5.1. уплату взносов на капитальный ремонт общего имущества в многоквартирных домах Учреждениями, расположенными в помещениях многоквартирных домов;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1.5.2. уплату налога на имущество и земельного налога;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1.5.3. оплату отведения ливневых стоков в централизованную ливневую канализацию.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пункт 2.5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2.5. Размер субсидий на иные цели определяется: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2.5.1.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1.5.1 – </w:t>
      </w:r>
      <w:r>
        <w:rPr>
          <w:bCs/>
          <w:sz w:val="28"/>
          <w:szCs w:val="28"/>
        </w:rPr>
        <w:t xml:space="preserve">исходя из минимального размера взноса на капитальный ремонт на один квадратный метр общей площади помещения в месяц, установленного нормативным правовым актом Пермского </w:t>
      </w:r>
      <w:r>
        <w:rPr>
          <w:bCs/>
          <w:sz w:val="28"/>
          <w:szCs w:val="28"/>
        </w:rPr>
        <w:t xml:space="preserve">края, и площади помещений Учреждений, находящихся в оперативном управлении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2.5.2.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1.5.2, – </w:t>
      </w:r>
      <w:r>
        <w:rPr>
          <w:bCs/>
          <w:sz w:val="28"/>
          <w:szCs w:val="28"/>
        </w:rPr>
        <w:t xml:space="preserve">в соответствии с налоговым законодательством Российской Федерации, исходя из налоговой базы, ставки и коэффициента платной деятельности.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целью определения объема расходо</w:t>
      </w:r>
      <w:r>
        <w:rPr>
          <w:bCs/>
          <w:sz w:val="28"/>
          <w:szCs w:val="28"/>
        </w:rPr>
        <w:t xml:space="preserve">в на уплату налогов используются сведения о начислении налога по данным налоговых деклараций, сданных за предшествующий налоговый период по соответствующему налогу с учетом ожидаемого изменения налоговой базы в очередном финансовом году и плановом периоде.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муниципальное Учреждение оказывает сверх установленн</w:t>
      </w:r>
      <w:r>
        <w:rPr>
          <w:bCs/>
          <w:sz w:val="28"/>
          <w:szCs w:val="28"/>
        </w:rPr>
        <w:t xml:space="preserve">ого муниципального задания муниципальные услуги (выполняет работы) для физических и юридических лиц за плату, а также осуществляет иную приносящую доход деятельность, затраты на уплату налогов рассчитываются с применением коэффициента платной деятельности.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Коэффициент платной деятельности определяется как отношение планируемого объема субсидии на фи</w:t>
      </w:r>
      <w:r>
        <w:rPr>
          <w:bCs/>
          <w:sz w:val="28"/>
          <w:szCs w:val="28"/>
        </w:rPr>
        <w:t xml:space="preserve">нансовое обеспечение выполнения муниципального задания к общей сумме планируемых поступлений, включающей поступления от субсидии и доходов от платной деятельности, определяемых исходя из объемов указанных поступлений, полученных в отчетном финансовом году;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2.5.3.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1.5.3, – </w:t>
      </w:r>
      <w:r>
        <w:rPr>
          <w:bCs/>
          <w:sz w:val="28"/>
          <w:szCs w:val="28"/>
        </w:rPr>
        <w:t xml:space="preserve">исходя из размера тарифа на пользование ливневой канализацией, установленного нормативным правовым актом Пермского края, и объема стоков в централизованную ливневую канализацию с земельных участков под объектами подведомственных Учреждений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пункт 2.6 дополнить абзацем следующего содержания: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В случае изменения тарифа на водоотведение поверхностных сточных вод решение о предоставлении субсидий на иные цели оформляется внесением изменений в Приказ без представления Учреждениями документов, указанных в пункте 2.1 настоящего Порядка.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2.7. пункт 2.13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2.13. Результат</w:t>
      </w:r>
      <w:r>
        <w:rPr>
          <w:bCs/>
          <w:sz w:val="28"/>
          <w:szCs w:val="28"/>
        </w:rPr>
        <w:t xml:space="preserve">ами</w:t>
      </w:r>
      <w:r>
        <w:rPr>
          <w:bCs/>
          <w:sz w:val="28"/>
          <w:szCs w:val="28"/>
        </w:rPr>
        <w:t xml:space="preserve"> предоставления субсидий на иные цели явля</w:t>
      </w:r>
      <w:r>
        <w:rPr>
          <w:bCs/>
          <w:sz w:val="28"/>
          <w:szCs w:val="28"/>
        </w:rPr>
        <w:t xml:space="preserve">ю</w:t>
      </w:r>
      <w:r>
        <w:rPr>
          <w:bCs/>
          <w:sz w:val="28"/>
          <w:szCs w:val="28"/>
        </w:rPr>
        <w:t xml:space="preserve">тся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2.13.1.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1.5.1, – количество квадратных метров общей площади помещений Учреждений, за пользование которыми осуществляется уплата взносов на капитальный ремонт общего имущества в многоквартирных домах, в соответствии с муниципальной программой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Доступное и качественное образование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2.13.2.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1.5.2, – количество учреждений, которые осуществили уплату налога на имущество и земельного налога, в соответствии с муниципальной программой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Доступное и качественное образование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2.13.3. по направлению</w:t>
      </w:r>
      <w:r>
        <w:rPr>
          <w:bCs/>
          <w:sz w:val="28"/>
          <w:szCs w:val="28"/>
        </w:rPr>
        <w:t xml:space="preserve">, указанному в пункте</w:t>
      </w:r>
      <w:r>
        <w:rPr>
          <w:bCs/>
          <w:sz w:val="28"/>
          <w:szCs w:val="28"/>
        </w:rPr>
        <w:t xml:space="preserve"> 1.5.3, – количество учреждений, которые осуществили оплату отведения ливневых стоков в централизованную ливневую канализацию, в соответствии с муниципальной программой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Доступное </w:t>
      </w:r>
      <w:r>
        <w:rPr>
          <w:bCs/>
          <w:sz w:val="28"/>
          <w:szCs w:val="28"/>
        </w:rPr>
        <w:br/>
      </w:r>
      <w:bookmarkStart w:id="1" w:name="_GoBack"/>
      <w:r/>
      <w:bookmarkEnd w:id="1"/>
      <w:r>
        <w:rPr>
          <w:bCs/>
          <w:sz w:val="28"/>
          <w:szCs w:val="28"/>
        </w:rPr>
        <w:t xml:space="preserve">и качественное образование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достижения результата предоставления субсидий на иные цели Соглашением устанавливается план мероприятий по достижению результатов предоставления субсидий на иные цели.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2.8. приложение 1 изложить в редакции согласно приложению к настоящему постановлению.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Настоящее постановление вступает в силу с 01 января 2026 г., но не ранее дня официального опубликования в печатном средстве массовой информации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843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Приложение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/>
      <w:bookmarkStart w:id="2" w:name="_Hlk195169789"/>
      <w:r>
        <w:rPr>
          <w:rFonts w:cs="Calibri"/>
          <w:sz w:val="28"/>
          <w:szCs w:val="28"/>
        </w:rPr>
        <w:t xml:space="preserve">к постановлению администрации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города Перми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 w:firstLine="1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21.10.2025 № 860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суммы субсидий на иные цели на обязательные платежи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за пользование имуществом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состоянию на 01 _______________ 20____ г.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jc w:val="center"/>
        <w:spacing w:line="238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учреждения)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32"/>
        <w:gridCol w:w="2353"/>
      </w:tblGrid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 для расчета суммы субсидий на иные цели*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для расчета суммы субсидий на иные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14" w:lineRule="auto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32"/>
        <w:gridCol w:w="2353"/>
      </w:tblGrid>
      <w:tr>
        <w:tblPrEx/>
        <w:trPr>
          <w:trHeight w:val="20"/>
          <w:tblHeader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285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Взносы на капитальный ремонт общего имущества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минимальный размер взноса на капитальный ремонт на один квадратный метр общей площади помещения в месяц,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встроенного нежилого помещения в соответствии с выпиской из реестра муниципального имущества города Перми о встроенных нежилых помещениях, закрепленных на праве оперативного управления, кв.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месяцев, 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 на иные цели на взносы на капитальный ремонт общего имущества в многоквартирных домах (руб.) (строка 1.1 x строка 1.2 x строка 1.3)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285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Уплата налога на имущество и земельного налога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база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ставка в %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коэффициент платной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субсидий на иные цели на уплату налогов (руб.) (строка 2.1 x строка 2.2) /100 x строка 2.3)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285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отведения ливневых стоков в централизованную ливневую канализацию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ливневых стоков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 на водоотведение поверхностных сточных вод, утвержденный постановлением Министерства тарифного регулирования и энергетики Пермского края, с учетом налога на добавленную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субсидий на иные цели на оплату отведения ливневых стоков в централизованную ливневую канализацию (руб.) (строка 3.1 x строка 3.2)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629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932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субсидий на иные цели на обязательные платежи за пользование имуществом (руб.)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(строка 1.4 + строка 2.4 + строка 3.3)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353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26"/>
        <w:gridCol w:w="609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6" w:type="dxa"/>
            <w:textDirection w:val="lrTb"/>
            <w:noWrap w:val="false"/>
          </w:tcPr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 заполнения)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(подпись, расшифровка подписи)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-----------------------------------------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ind w:firstLine="540"/>
        <w:jc w:val="both"/>
        <w:spacing w:line="23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2.5 Порядка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на обязательные платежи за пользование имуществом.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843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2108569"/>
      <w:docPartObj>
        <w:docPartGallery w:val="Page Numbers (Top of Page)"/>
        <w:docPartUnique w:val="true"/>
      </w:docPartObj>
      <w:rPr/>
    </w:sdtPr>
    <w:sdtContent>
      <w:p>
        <w:pPr>
          <w:pStyle w:val="88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5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09"/>
    <w:link w:val="723"/>
    <w:uiPriority w:val="10"/>
    <w:rPr>
      <w:sz w:val="48"/>
      <w:szCs w:val="48"/>
    </w:rPr>
  </w:style>
  <w:style w:type="character" w:styleId="693">
    <w:name w:val="Subtitle Char"/>
    <w:basedOn w:val="709"/>
    <w:link w:val="725"/>
    <w:uiPriority w:val="11"/>
    <w:rPr>
      <w:sz w:val="24"/>
      <w:szCs w:val="24"/>
    </w:rPr>
  </w:style>
  <w:style w:type="character" w:styleId="694">
    <w:name w:val="Quote Char"/>
    <w:link w:val="727"/>
    <w:uiPriority w:val="29"/>
    <w:rPr>
      <w:i/>
    </w:rPr>
  </w:style>
  <w:style w:type="character" w:styleId="695">
    <w:name w:val="Intense Quote Char"/>
    <w:link w:val="729"/>
    <w:uiPriority w:val="30"/>
    <w:rPr>
      <w:i/>
    </w:rPr>
  </w:style>
  <w:style w:type="character" w:styleId="696">
    <w:name w:val="Caption Char"/>
    <w:basedOn w:val="709"/>
    <w:link w:val="878"/>
    <w:uiPriority w:val="35"/>
    <w:rPr>
      <w:b/>
      <w:bCs/>
      <w:color w:val="4f81bd" w:themeColor="accent1"/>
      <w:sz w:val="18"/>
      <w:szCs w:val="18"/>
    </w:rPr>
  </w:style>
  <w:style w:type="character" w:styleId="697">
    <w:name w:val="Footnote Text Char"/>
    <w:link w:val="859"/>
    <w:uiPriority w:val="99"/>
    <w:rPr>
      <w:sz w:val="18"/>
    </w:rPr>
  </w:style>
  <w:style w:type="character" w:styleId="698">
    <w:name w:val="Endnote Text Char"/>
    <w:link w:val="862"/>
    <w:uiPriority w:val="99"/>
    <w:rPr>
      <w:sz w:val="20"/>
    </w:rPr>
  </w:style>
  <w:style w:type="paragraph" w:styleId="699" w:default="1">
    <w:name w:val="Normal"/>
    <w:qFormat/>
  </w:style>
  <w:style w:type="paragraph" w:styleId="700">
    <w:name w:val="Heading 1"/>
    <w:basedOn w:val="699"/>
    <w:next w:val="699"/>
    <w:link w:val="876"/>
    <w:qFormat/>
    <w:pPr>
      <w:ind w:right="-1" w:firstLine="709"/>
      <w:jc w:val="both"/>
      <w:keepNext/>
      <w:outlineLvl w:val="0"/>
    </w:pPr>
    <w:rPr>
      <w:sz w:val="24"/>
    </w:rPr>
  </w:style>
  <w:style w:type="paragraph" w:styleId="701">
    <w:name w:val="Heading 2"/>
    <w:basedOn w:val="699"/>
    <w:next w:val="699"/>
    <w:link w:val="877"/>
    <w:qFormat/>
    <w:pPr>
      <w:ind w:right="-1"/>
      <w:jc w:val="both"/>
      <w:keepNext/>
      <w:outlineLvl w:val="1"/>
    </w:pPr>
    <w:rPr>
      <w:sz w:val="2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1"/>
    <w:qFormat/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Название Знак"/>
    <w:basedOn w:val="709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 w:after="200"/>
    </w:pPr>
    <w:rPr>
      <w:sz w:val="24"/>
      <w:szCs w:val="24"/>
    </w:rPr>
  </w:style>
  <w:style w:type="character" w:styleId="726" w:customStyle="1">
    <w:name w:val="Подзаголовок Знак"/>
    <w:basedOn w:val="709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9"/>
    <w:uiPriority w:val="99"/>
  </w:style>
  <w:style w:type="character" w:styleId="732" w:customStyle="1">
    <w:name w:val="Footer Char"/>
    <w:basedOn w:val="709"/>
    <w:uiPriority w:val="99"/>
  </w:style>
  <w:style w:type="character" w:styleId="733" w:customStyle="1">
    <w:name w:val="Название объекта Знак"/>
    <w:basedOn w:val="709"/>
    <w:link w:val="878"/>
    <w:uiPriority w:val="35"/>
    <w:rPr>
      <w:b/>
      <w:bCs/>
      <w:color w:val="5b9bd5" w:themeColor="accent1"/>
      <w:sz w:val="18"/>
      <w:szCs w:val="18"/>
    </w:rPr>
  </w:style>
  <w:style w:type="table" w:styleId="734" w:customStyle="1">
    <w:name w:val="Table Grid Light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5">
    <w:name w:val="Plain Table 1"/>
    <w:basedOn w:val="710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71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710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710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1"/>
    <w:basedOn w:val="71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2"/>
    <w:basedOn w:val="71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3"/>
    <w:basedOn w:val="71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4"/>
    <w:basedOn w:val="71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5"/>
    <w:basedOn w:val="71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6"/>
    <w:basedOn w:val="71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1"/>
    <w:basedOn w:val="71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2"/>
    <w:basedOn w:val="71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3"/>
    <w:basedOn w:val="71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4"/>
    <w:basedOn w:val="71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5"/>
    <w:basedOn w:val="71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6"/>
    <w:basedOn w:val="71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710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1"/>
    <w:basedOn w:val="710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2"/>
    <w:basedOn w:val="710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3"/>
    <w:basedOn w:val="710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4"/>
    <w:basedOn w:val="710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5"/>
    <w:basedOn w:val="710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6"/>
    <w:basedOn w:val="710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10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 w:customStyle="1">
    <w:name w:val="Grid Table 4 - Accent 1"/>
    <w:basedOn w:val="710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3" w:customStyle="1">
    <w:name w:val="Grid Table 4 - Accent 2"/>
    <w:basedOn w:val="710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Grid Table 4 - Accent 3"/>
    <w:basedOn w:val="710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5" w:customStyle="1">
    <w:name w:val="Grid Table 4 - Accent 4"/>
    <w:basedOn w:val="710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Grid Table 4 - Accent 5"/>
    <w:basedOn w:val="710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7" w:customStyle="1">
    <w:name w:val="Grid Table 4 - Accent 6"/>
    <w:basedOn w:val="710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8">
    <w:name w:val="Grid Table 5 Dark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1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2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3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4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5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6"/>
    <w:basedOn w:val="710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5">
    <w:name w:val="Grid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6" w:customStyle="1">
    <w:name w:val="Grid Table 6 Colorful - Accent 1"/>
    <w:basedOn w:val="710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7" w:customStyle="1">
    <w:name w:val="Grid Table 6 Colorful - Accent 2"/>
    <w:basedOn w:val="71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8" w:customStyle="1">
    <w:name w:val="Grid Table 6 Colorful - Accent 3"/>
    <w:basedOn w:val="710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9" w:customStyle="1">
    <w:name w:val="Grid Table 6 Colorful - Accent 4"/>
    <w:basedOn w:val="71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0" w:customStyle="1">
    <w:name w:val="Grid Table 6 Colorful - Accent 5"/>
    <w:basedOn w:val="710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 w:customStyle="1">
    <w:name w:val="Grid Table 6 Colorful - Accent 6"/>
    <w:basedOn w:val="710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2">
    <w:name w:val="Grid Table 7 Colorful"/>
    <w:basedOn w:val="710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1"/>
    <w:basedOn w:val="710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2"/>
    <w:basedOn w:val="710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3"/>
    <w:basedOn w:val="710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4"/>
    <w:basedOn w:val="710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5"/>
    <w:basedOn w:val="710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6"/>
    <w:basedOn w:val="710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710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1"/>
    <w:basedOn w:val="710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2"/>
    <w:basedOn w:val="710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3"/>
    <w:basedOn w:val="710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4"/>
    <w:basedOn w:val="710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5"/>
    <w:basedOn w:val="710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6"/>
    <w:basedOn w:val="710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710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1"/>
    <w:basedOn w:val="710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2"/>
    <w:basedOn w:val="710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3"/>
    <w:basedOn w:val="710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4"/>
    <w:basedOn w:val="710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5"/>
    <w:basedOn w:val="710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6"/>
    <w:basedOn w:val="710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1"/>
    <w:basedOn w:val="710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2"/>
    <w:basedOn w:val="710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3"/>
    <w:basedOn w:val="710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4"/>
    <w:basedOn w:val="710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5"/>
    <w:basedOn w:val="710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6"/>
    <w:basedOn w:val="710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710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1"/>
    <w:basedOn w:val="710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2"/>
    <w:basedOn w:val="710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3"/>
    <w:basedOn w:val="710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4"/>
    <w:basedOn w:val="710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5"/>
    <w:basedOn w:val="710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6"/>
    <w:basedOn w:val="710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710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1"/>
    <w:basedOn w:val="710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2"/>
    <w:basedOn w:val="710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3"/>
    <w:basedOn w:val="710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4"/>
    <w:basedOn w:val="710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5"/>
    <w:basedOn w:val="710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6"/>
    <w:basedOn w:val="710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>
    <w:name w:val="List Table 6 Colorful"/>
    <w:basedOn w:val="710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5" w:customStyle="1">
    <w:name w:val="List Table 6 Colorful - Accent 1"/>
    <w:basedOn w:val="710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6" w:customStyle="1">
    <w:name w:val="List Table 6 Colorful - Accent 2"/>
    <w:basedOn w:val="710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7" w:customStyle="1">
    <w:name w:val="List Table 6 Colorful - Accent 3"/>
    <w:basedOn w:val="710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8" w:customStyle="1">
    <w:name w:val="List Table 6 Colorful - Accent 4"/>
    <w:basedOn w:val="710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9" w:customStyle="1">
    <w:name w:val="List Table 6 Colorful - Accent 5"/>
    <w:basedOn w:val="710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0" w:customStyle="1">
    <w:name w:val="List Table 6 Colorful - Accent 6"/>
    <w:basedOn w:val="710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1">
    <w:name w:val="List Table 7 Colorful"/>
    <w:basedOn w:val="710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1"/>
    <w:basedOn w:val="710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2"/>
    <w:basedOn w:val="710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3"/>
    <w:basedOn w:val="710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4"/>
    <w:basedOn w:val="710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5"/>
    <w:basedOn w:val="710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6"/>
    <w:basedOn w:val="710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ned - Accent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Lined - Accent 1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0" w:customStyle="1">
    <w:name w:val="Lined - Accent 2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1" w:customStyle="1">
    <w:name w:val="Lined - Accent 3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2" w:customStyle="1">
    <w:name w:val="Lined - Accent 4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3" w:customStyle="1">
    <w:name w:val="Lined - Accent 5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4" w:customStyle="1">
    <w:name w:val="Lined - Accent 6"/>
    <w:basedOn w:val="710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5" w:customStyle="1">
    <w:name w:val="Bordered &amp; Lined - Accent"/>
    <w:basedOn w:val="710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Bordered &amp; Lined - Accent 1"/>
    <w:basedOn w:val="710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7" w:customStyle="1">
    <w:name w:val="Bordered &amp; Lined - Accent 2"/>
    <w:basedOn w:val="710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8" w:customStyle="1">
    <w:name w:val="Bordered &amp; Lined - Accent 3"/>
    <w:basedOn w:val="710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9" w:customStyle="1">
    <w:name w:val="Bordered &amp; Lined - Accent 4"/>
    <w:basedOn w:val="710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0" w:customStyle="1">
    <w:name w:val="Bordered &amp; Lined - Accent 5"/>
    <w:basedOn w:val="710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1" w:customStyle="1">
    <w:name w:val="Bordered &amp; Lined - Accent 6"/>
    <w:basedOn w:val="710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2" w:customStyle="1">
    <w:name w:val="Bordered"/>
    <w:basedOn w:val="710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3" w:customStyle="1">
    <w:name w:val="Bordered - Accent 1"/>
    <w:basedOn w:val="710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4" w:customStyle="1">
    <w:name w:val="Bordered - Accent 2"/>
    <w:basedOn w:val="710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5" w:customStyle="1">
    <w:name w:val="Bordered - Accent 3"/>
    <w:basedOn w:val="710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6" w:customStyle="1">
    <w:name w:val="Bordered - Accent 4"/>
    <w:basedOn w:val="710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7" w:customStyle="1">
    <w:name w:val="Bordered - Accent 5"/>
    <w:basedOn w:val="710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8" w:customStyle="1">
    <w:name w:val="Bordered - Accent 6"/>
    <w:basedOn w:val="710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9">
    <w:name w:val="footnote text"/>
    <w:basedOn w:val="699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basedOn w:val="709"/>
    <w:uiPriority w:val="99"/>
    <w:unhideWhenUsed/>
    <w:rPr>
      <w:vertAlign w:val="superscript"/>
    </w:rPr>
  </w:style>
  <w:style w:type="paragraph" w:styleId="862">
    <w:name w:val="endnote text"/>
    <w:basedOn w:val="699"/>
    <w:link w:val="863"/>
    <w:uiPriority w:val="99"/>
    <w:semiHidden/>
    <w:unhideWhenUsed/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basedOn w:val="709"/>
    <w:uiPriority w:val="99"/>
    <w:semiHidden/>
    <w:unhideWhenUsed/>
    <w:rPr>
      <w:vertAlign w:val="superscript"/>
    </w:rPr>
  </w:style>
  <w:style w:type="paragraph" w:styleId="865">
    <w:name w:val="toc 1"/>
    <w:basedOn w:val="699"/>
    <w:next w:val="699"/>
    <w:uiPriority w:val="39"/>
    <w:unhideWhenUsed/>
    <w:pPr>
      <w:spacing w:after="57"/>
    </w:pPr>
  </w:style>
  <w:style w:type="paragraph" w:styleId="866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67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68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69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0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1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2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3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99"/>
    <w:next w:val="699"/>
    <w:uiPriority w:val="99"/>
    <w:unhideWhenUsed/>
  </w:style>
  <w:style w:type="character" w:styleId="876" w:customStyle="1">
    <w:name w:val="Заголовок 1 Знак"/>
    <w:link w:val="700"/>
    <w:rPr>
      <w:sz w:val="24"/>
    </w:rPr>
  </w:style>
  <w:style w:type="character" w:styleId="877" w:customStyle="1">
    <w:name w:val="Заголовок 2 Знак"/>
    <w:link w:val="701"/>
    <w:rPr>
      <w:sz w:val="24"/>
    </w:rPr>
  </w:style>
  <w:style w:type="paragraph" w:styleId="878">
    <w:name w:val="Caption"/>
    <w:basedOn w:val="699"/>
    <w:next w:val="699"/>
    <w:link w:val="73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699"/>
    <w:link w:val="880"/>
    <w:pPr>
      <w:ind w:right="3117"/>
    </w:pPr>
    <w:rPr>
      <w:rFonts w:ascii="Courier New" w:hAnsi="Courier New"/>
      <w:sz w:val="26"/>
    </w:rPr>
  </w:style>
  <w:style w:type="character" w:styleId="880" w:customStyle="1">
    <w:name w:val="Основной текст Знак"/>
    <w:link w:val="879"/>
    <w:rPr>
      <w:rFonts w:ascii="Courier New" w:hAnsi="Courier New"/>
      <w:sz w:val="26"/>
    </w:rPr>
  </w:style>
  <w:style w:type="paragraph" w:styleId="881">
    <w:name w:val="Body Text Indent"/>
    <w:basedOn w:val="699"/>
    <w:link w:val="882"/>
    <w:pPr>
      <w:ind w:right="-1"/>
      <w:jc w:val="both"/>
    </w:pPr>
    <w:rPr>
      <w:sz w:val="26"/>
    </w:rPr>
  </w:style>
  <w:style w:type="character" w:styleId="882" w:customStyle="1">
    <w:name w:val="Основной текст с отступом Знак"/>
    <w:link w:val="881"/>
    <w:rPr>
      <w:sz w:val="26"/>
    </w:rPr>
  </w:style>
  <w:style w:type="paragraph" w:styleId="883">
    <w:name w:val="Footer"/>
    <w:basedOn w:val="699"/>
    <w:link w:val="884"/>
    <w:uiPriority w:val="99"/>
    <w:pPr>
      <w:tabs>
        <w:tab w:val="center" w:pos="4153" w:leader="none"/>
        <w:tab w:val="right" w:pos="8306" w:leader="none"/>
      </w:tabs>
    </w:pPr>
  </w:style>
  <w:style w:type="character" w:styleId="884" w:customStyle="1">
    <w:name w:val="Нижний колонтитул Знак"/>
    <w:basedOn w:val="709"/>
    <w:link w:val="883"/>
    <w:uiPriority w:val="99"/>
  </w:style>
  <w:style w:type="character" w:styleId="885">
    <w:name w:val="page number"/>
    <w:basedOn w:val="709"/>
  </w:style>
  <w:style w:type="paragraph" w:styleId="886">
    <w:name w:val="Header"/>
    <w:basedOn w:val="699"/>
    <w:link w:val="887"/>
    <w:uiPriority w:val="99"/>
    <w:pPr>
      <w:tabs>
        <w:tab w:val="center" w:pos="4153" w:leader="none"/>
        <w:tab w:val="right" w:pos="8306" w:leader="none"/>
      </w:tabs>
    </w:pPr>
  </w:style>
  <w:style w:type="character" w:styleId="887" w:customStyle="1">
    <w:name w:val="Верхний колонтитул Знак"/>
    <w:link w:val="886"/>
    <w:uiPriority w:val="99"/>
  </w:style>
  <w:style w:type="paragraph" w:styleId="888">
    <w:name w:val="Balloon Text"/>
    <w:basedOn w:val="699"/>
    <w:link w:val="889"/>
    <w:rPr>
      <w:rFonts w:ascii="Segoe UI" w:hAnsi="Segoe UI"/>
      <w:sz w:val="18"/>
      <w:szCs w:val="18"/>
    </w:rPr>
  </w:style>
  <w:style w:type="character" w:styleId="889" w:customStyle="1">
    <w:name w:val="Текст выноски Знак"/>
    <w:link w:val="888"/>
    <w:rPr>
      <w:rFonts w:ascii="Segoe UI" w:hAnsi="Segoe UI" w:cs="Segoe UI"/>
      <w:sz w:val="18"/>
      <w:szCs w:val="18"/>
    </w:rPr>
  </w:style>
  <w:style w:type="paragraph" w:styleId="890" w:customStyle="1">
    <w:name w:val="Форма"/>
    <w:rPr>
      <w:sz w:val="28"/>
      <w:szCs w:val="28"/>
    </w:rPr>
  </w:style>
  <w:style w:type="paragraph" w:styleId="891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892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93">
    <w:name w:val="Hyperlink"/>
    <w:uiPriority w:val="99"/>
    <w:unhideWhenUsed/>
    <w:rPr>
      <w:color w:val="0000ff"/>
      <w:u w:val="single"/>
    </w:rPr>
  </w:style>
  <w:style w:type="table" w:styleId="894">
    <w:name w:val="Table Grid"/>
    <w:basedOn w:val="7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>
    <w:name w:val="Placeholder Text"/>
    <w:basedOn w:val="709"/>
    <w:uiPriority w:val="99"/>
    <w:semiHidden/>
    <w:rPr>
      <w:color w:val="808080"/>
    </w:rPr>
  </w:style>
  <w:style w:type="paragraph" w:styleId="896">
    <w:name w:val="Normal (Web)"/>
    <w:basedOn w:val="699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C400-ED30-47D6-B8EF-AA24F48F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samokhvalova-ev</cp:lastModifiedBy>
  <cp:revision>9</cp:revision>
  <dcterms:created xsi:type="dcterms:W3CDTF">2025-10-14T14:09:00Z</dcterms:created>
  <dcterms:modified xsi:type="dcterms:W3CDTF">2025-10-21T09:57:04Z</dcterms:modified>
</cp:coreProperties>
</file>