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863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863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ё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ind w:right="5103"/>
        <w:spacing w:line="240" w:lineRule="exact"/>
        <w:rPr>
          <w:b/>
        </w:rPr>
      </w:pPr>
      <w:r>
        <w:rPr>
          <w:b/>
        </w:rPr>
        <w:t xml:space="preserve">О внесении изменений</w:t>
      </w:r>
      <w:r>
        <w:rPr>
          <w:b/>
        </w:rPr>
        <w:br w:type="textWrapping" w:clear="all"/>
        <w:t xml:space="preserve">в Положение об отраслевой </w:t>
      </w:r>
      <w:r>
        <w:rPr>
          <w:b/>
        </w:rPr>
        <w:br w:type="textWrapping" w:clear="all"/>
        <w:t xml:space="preserve">системе оплаты труда </w:t>
      </w:r>
      <w:r>
        <w:rPr>
          <w:b/>
        </w:rPr>
        <w:br w:type="textWrapping" w:clear="all"/>
        <w:t xml:space="preserve">работников муниципальных </w:t>
      </w:r>
      <w:r>
        <w:rPr>
          <w:b/>
        </w:rPr>
        <w:br w:type="textWrapping" w:clear="all"/>
        <w:t xml:space="preserve">автономных и бюджетных </w:t>
      </w:r>
      <w:r>
        <w:rPr>
          <w:b/>
        </w:rPr>
        <w:br w:type="textWrapping" w:clear="all"/>
        <w:t xml:space="preserve">учреждений в сфере культуры, </w:t>
      </w:r>
      <w:r>
        <w:rPr>
          <w:b/>
        </w:rPr>
        <w:br w:type="textWrapping" w:clear="all"/>
        <w:t xml:space="preserve">молодежной политики </w:t>
      </w:r>
      <w:r>
        <w:rPr>
          <w:b/>
        </w:rPr>
        <w:br w:type="textWrapping" w:clear="all"/>
        <w:t xml:space="preserve">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</w:t>
      </w:r>
      <w:r>
        <w:rPr>
          <w:b/>
        </w:rPr>
        <w:br w:type="textWrapping" w:clear="all"/>
        <w:t xml:space="preserve">города Перми от 20.10.2009 № 698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</w:pPr>
      <w:r/>
      <w:r/>
    </w:p>
    <w:p>
      <w:pPr>
        <w:pStyle w:val="915"/>
        <w:spacing w:line="240" w:lineRule="exact"/>
      </w:pPr>
      <w:r/>
      <w:r/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соответствии </w:t>
      </w:r>
      <w:r>
        <w:rPr>
          <w:sz w:val="28"/>
          <w:szCs w:val="28"/>
        </w:rPr>
        <w:t xml:space="preserve">с Трудовым кодексом Российской Федерации, </w:t>
      </w:r>
      <w:r>
        <w:rPr>
          <w:rFonts w:eastAsia="Calibri"/>
          <w:bCs/>
          <w:sz w:val="28"/>
          <w:szCs w:val="28"/>
          <w:lang w:eastAsia="en-US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 от 20 марта </w:t>
        <w:br/>
        <w:t xml:space="preserve">2025 г. № 33-ФЗ «Об общих принципах организации местного самоуправления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  <w:t xml:space="preserve">в единой системе публичной власти», </w:t>
      </w:r>
      <w:r>
        <w:rPr>
          <w:sz w:val="28"/>
          <w:szCs w:val="28"/>
        </w:rPr>
        <w:t xml:space="preserve">решением Пермской городской Думы </w:t>
        <w:br/>
        <w:t xml:space="preserve">от 22 сентября 2009 г. № 209 «Об утверждении Положения </w:t>
      </w:r>
      <w:r>
        <w:rPr>
          <w:sz w:val="28"/>
          <w:szCs w:val="28"/>
        </w:rPr>
        <w:t xml:space="preserve">об оплате труда работников муниципальных учреждений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0" w:name="_Hlk22633102"/>
      <w:r/>
      <w:bookmarkStart w:id="1" w:name="_Hlk22634235"/>
      <w:r>
        <w:rPr>
          <w:sz w:val="28"/>
          <w:szCs w:val="24"/>
        </w:rPr>
        <w:t xml:space="preserve">1. Утвердить прилагаемые изменения  </w:t>
      </w:r>
      <w:bookmarkStart w:id="2" w:name="_Hlk178589465"/>
      <w:r>
        <w:rPr>
          <w:sz w:val="28"/>
          <w:szCs w:val="24"/>
        </w:rPr>
        <w:t xml:space="preserve">в </w:t>
      </w:r>
      <w:bookmarkStart w:id="3" w:name="_Hlk535403634"/>
      <w:r>
        <w:rPr>
          <w:sz w:val="28"/>
          <w:szCs w:val="24"/>
        </w:rPr>
        <w:t xml:space="preserve">Положение об отраслевой системе оплаты труда работников муниципальных авто</w:t>
      </w:r>
      <w:r>
        <w:rPr>
          <w:sz w:val="28"/>
          <w:szCs w:val="24"/>
        </w:rPr>
        <w:t xml:space="preserve">номных и бюджетных учреждений 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 октября 2009 г. № 6</w:t>
      </w:r>
      <w:bookmarkEnd w:id="0"/>
      <w:r>
        <w:rPr>
          <w:sz w:val="28"/>
          <w:szCs w:val="24"/>
        </w:rPr>
        <w:t xml:space="preserve">98 (в ред. от 04.10.2010 № 646, от 03.10.2012 № 581, от 24.02.2014 № 110, </w:t>
      </w:r>
      <w:r>
        <w:rPr>
          <w:sz w:val="28"/>
          <w:szCs w:val="24"/>
        </w:rPr>
        <w:br/>
        <w:t xml:space="preserve">от 29.09.2015 </w:t>
      </w:r>
      <w:bookmarkStart w:id="4" w:name="_Hlk84430706"/>
      <w:r>
        <w:rPr>
          <w:sz w:val="28"/>
          <w:szCs w:val="24"/>
        </w:rPr>
        <w:t xml:space="preserve">№ 686, от 27.10.2016 № 961</w:t>
      </w:r>
      <w:bookmarkEnd w:id="1"/>
      <w:r>
        <w:rPr>
          <w:sz w:val="28"/>
          <w:szCs w:val="24"/>
        </w:rPr>
        <w:t xml:space="preserve">, от 27.12.2019 № 1118, от 23.12.2021 </w:t>
      </w:r>
      <w:r>
        <w:rPr>
          <w:sz w:val="28"/>
          <w:szCs w:val="24"/>
        </w:rPr>
        <w:br/>
        <w:t xml:space="preserve">№ 1191, от 29.04.2022 № 326, от 17.11.2022 № 1161, от 10.01.2023 № 8, от 11.05.2023 № 370, от 11.10.2023 № 974, от 10.01.2024 № 2, от 25.07.2024 № 604, от 16.09.2024 № 770, от 17.10.2024 № 911, от 20.11.2024 № 1107, от 24.02.2025 № 104, </w:t>
      </w:r>
      <w:r>
        <w:rPr>
          <w:sz w:val="28"/>
          <w:szCs w:val="24"/>
        </w:rPr>
        <w:br/>
        <w:t xml:space="preserve">от 05.05.2025 № 288, от 26.08.2025 № 572) (далее – Изменения).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</w:t>
      </w:r>
      <w:r>
        <w:rPr>
          <w:sz w:val="28"/>
          <w:szCs w:val="28"/>
        </w:rPr>
        <w:t xml:space="preserve">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пунктов 4, 6, 10, 12 Изменений, которые вступают в силу с 01 января 2027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2c2d2e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2c2d2e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2c2d2e"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  <w:r>
        <w:rPr>
          <w:color w:val="2c2d2e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rPr>
          <w:b/>
          <w:bCs/>
          <w:sz w:val="28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УТВЕРЖДЕНЫ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постановлением администрации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города Перми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от 21.10.2025 № 863         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ind w:firstLine="720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ИЗМЕНЕНИЯ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20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в Положение об отраслевой системе оплаты труда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20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работников муниципальных автономных и бюджетных учреждений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20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 октября 2009 г. № 698 </w:t>
      </w:r>
      <w:r>
        <w:rPr>
          <w:b/>
          <w:sz w:val="28"/>
          <w:szCs w:val="24"/>
        </w:rPr>
        <w:br/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20"/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bookmarkStart w:id="5" w:name="_Hlk144888578"/>
      <w:r/>
      <w:bookmarkEnd w:id="3"/>
      <w:r>
        <w:rPr>
          <w:sz w:val="28"/>
          <w:szCs w:val="28"/>
        </w:rPr>
        <w:t xml:space="preserve"> Пункт 3.1.1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«3.1.1. Размеры окладов работников устанавливаются на основе отнесения занимаемых ими должностей служащих к ПКГ, утвержденным приказами Министерства здравоохранения и социального развития Российской Федерации </w:t>
      </w:r>
      <w:r>
        <w:rPr>
          <w:sz w:val="28"/>
          <w:szCs w:val="28"/>
        </w:rPr>
        <w:br/>
        <w:t xml:space="preserve">от 31 августа 2007 г. </w:t>
      </w:r>
      <w:hyperlink r:id="rId13" w:tooltip="https://login.consultant.ru/link/?req=doc&amp;base=LAW&amp;n=71507&amp;date=13.10.2021" w:history="1">
        <w:r>
          <w:rPr>
            <w:sz w:val="28"/>
            <w:szCs w:val="28"/>
          </w:rPr>
          <w:t xml:space="preserve">№ 570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культуры, искусства </w:t>
      </w:r>
      <w:r>
        <w:rPr>
          <w:sz w:val="28"/>
          <w:szCs w:val="28"/>
        </w:rPr>
        <w:br/>
        <w:t xml:space="preserve">и кинематографии», от 29 мая 2008 г. </w:t>
      </w:r>
      <w:hyperlink r:id="rId14" w:tooltip="https://login.consultant.ru/link/?req=doc&amp;base=LAW&amp;n=84164&amp;date=13.10.2021" w:history="1">
        <w:r>
          <w:rPr>
            <w:sz w:val="28"/>
            <w:szCs w:val="28"/>
          </w:rPr>
          <w:t xml:space="preserve">№ 247н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в следующих размерах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технических исполнителей </w:t>
      </w:r>
      <w:r>
        <w:rPr>
          <w:sz w:val="28"/>
          <w:szCs w:val="28"/>
        </w:rPr>
        <w:br w:type="textWrapping" w:clear="all"/>
        <w:t xml:space="preserve">и артистов вспомогательного состава», – 12 827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17 437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20 043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22 845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10 227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17 437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19 844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22 645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руководитель </w:t>
      </w:r>
      <w:bookmarkStart w:id="6" w:name="_Hlk89427228"/>
      <w:r>
        <w:rPr>
          <w:sz w:val="28"/>
          <w:szCs w:val="28"/>
        </w:rPr>
        <w:t xml:space="preserve">клубного формирования, любительского объединения, студии, коллектива самодеятельного искусства, клуба по интересам (кружка), концертного объединения, хора, дворца культуры </w:t>
      </w:r>
      <w:bookmarkEnd w:id="4"/>
      <w:r>
        <w:rPr>
          <w:sz w:val="28"/>
          <w:szCs w:val="28"/>
        </w:rPr>
        <w:t xml:space="preserve">– 21 022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17 437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19 844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19 844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19 844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режиссер, дирижер, балетмейстер, хормейстер – 22 845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механик – 17 437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артист-инструменталист-солист – 20 043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bookmarkStart w:id="7" w:name="_Hlk117847276"/>
      <w:r>
        <w:rPr>
          <w:sz w:val="24"/>
          <w:szCs w:val="24"/>
        </w:rPr>
        <w:t xml:space="preserve">С учетом повышения должностных окладов с 01 января 2026 г</w:t>
      </w:r>
      <w:bookmarkEnd w:id="5"/>
      <w:r>
        <w:rPr>
          <w:sz w:val="24"/>
          <w:szCs w:val="24"/>
        </w:rPr>
        <w:t xml:space="preserve">.»</w:t>
      </w:r>
      <w:r>
        <w:rPr>
          <w:sz w:val="28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3.1.1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. Размеры окладов работников муниципальных библиотек устанавливаются на основе отнесения занимаемых ими должностей служащих </w:t>
      </w:r>
      <w:r>
        <w:rPr>
          <w:sz w:val="28"/>
          <w:szCs w:val="28"/>
        </w:rPr>
        <w:br/>
        <w:t xml:space="preserve">к ПКГ, утвержденным приказами Министерства здравоохранения и социального развития Российской Федерации от 31 августа 2007 г. </w:t>
      </w:r>
      <w:hyperlink r:id="rId15" w:tooltip="https://login.consultant.ru/link/?req=doc&amp;base=LAW&amp;n=71507&amp;date=13.10.2021" w:history="1">
        <w:r>
          <w:rPr>
            <w:sz w:val="28"/>
            <w:szCs w:val="28"/>
          </w:rPr>
          <w:t xml:space="preserve">№ 570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культуры, искусства и кинематографии», от 29 мая 2008 г. </w:t>
      </w:r>
      <w:hyperlink r:id="rId16" w:tooltip="https://login.consultant.ru/link/?req=doc&amp;base=LAW&amp;n=84164&amp;date=13.10.2021" w:history="1">
        <w:r>
          <w:rPr>
            <w:sz w:val="28"/>
            <w:szCs w:val="28"/>
          </w:rPr>
          <w:t xml:space="preserve">№ 247н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в следующих размерах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технических исполнителей </w:t>
      </w:r>
      <w:r>
        <w:rPr>
          <w:sz w:val="28"/>
          <w:szCs w:val="28"/>
        </w:rPr>
        <w:br w:type="textWrapping" w:clear="all"/>
        <w:t xml:space="preserve">и артистов вспомогательного состава», – 15 024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20 420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24 851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26 758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14 554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20 420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23 239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26 524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20 420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23 239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23 239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23 239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 xml:space="preserve">С учетом повышения должностных окладов с 01 января 2026 г.»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8" w:name="_Hlk89338593"/>
      <w:r/>
      <w:bookmarkEnd w:id="6"/>
      <w:r>
        <w:rPr>
          <w:sz w:val="28"/>
          <w:szCs w:val="28"/>
        </w:rPr>
        <w:t xml:space="preserve">3. </w:t>
      </w:r>
      <w:bookmarkStart w:id="9" w:name="_Hlk118118558"/>
      <w:r>
        <w:rPr>
          <w:sz w:val="28"/>
          <w:szCs w:val="28"/>
        </w:rPr>
        <w:t xml:space="preserve">Пункт 3.1.1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. Размеры окладов работников муниципальных учреждений, осуществляющих деятельность в сфере молодежной политики, устанавливаются </w:t>
      </w:r>
      <w:r>
        <w:rPr>
          <w:sz w:val="28"/>
          <w:szCs w:val="28"/>
        </w:rPr>
        <w:br w:type="textWrapping" w:clear="all"/>
        <w:t xml:space="preserve">на основе отнесения занимаемых ими должностей служащих к ПКГ, утвержденным приказами Министерства здравоохранения и социального развития Российской </w:t>
      </w:r>
      <w:r>
        <w:rPr>
          <w:sz w:val="28"/>
          <w:szCs w:val="28"/>
        </w:rPr>
        <w:t xml:space="preserve">Федерации от 31 августа 2007 г. </w:t>
      </w:r>
      <w:hyperlink r:id="rId17" w:tooltip="https://login.consultant.ru/link/?req=doc&amp;base=LAW&amp;n=71507&amp;date=13.10.2021" w:history="1">
        <w:r>
          <w:rPr>
            <w:sz w:val="28"/>
            <w:szCs w:val="28"/>
          </w:rPr>
          <w:t xml:space="preserve">№ 570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культуры, искусства </w:t>
      </w:r>
      <w:r>
        <w:rPr>
          <w:sz w:val="28"/>
          <w:szCs w:val="28"/>
        </w:rPr>
        <w:br/>
        <w:t xml:space="preserve">и кинематографии», от 29 мая 2008 г. </w:t>
      </w:r>
      <w:hyperlink r:id="rId18" w:tooltip="https://login.consultant.ru/link/?req=doc&amp;base=LAW&amp;n=84164&amp;date=13.10.2021" w:history="1">
        <w:r>
          <w:rPr>
            <w:sz w:val="28"/>
            <w:szCs w:val="28"/>
          </w:rPr>
          <w:t xml:space="preserve">№ 247н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технических исполнителей </w:t>
      </w:r>
      <w:r>
        <w:rPr>
          <w:sz w:val="28"/>
          <w:szCs w:val="28"/>
        </w:rPr>
        <w:br w:type="textWrapping" w:clear="all"/>
        <w:t xml:space="preserve">и артистов вспомогательного состава», – 8 344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11 343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13 037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14 860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6 653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11 343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12 908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14 730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руководитель клубного формирования, любительского объединения, студии, коллектива самодеятельного искусства, клуба по интересам (кружка) – 13 674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режиссер, дирижер, балетмейстер, хормейстер – 14 244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11 343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12 908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12 908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12 908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г. (с 01 апреля 2025 г. на 9,5 %).»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Пункт 3.1.1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. Размеры окладов работников муниципальных учреждений, осуществляющих деятельность в сфере молодежной политики, устанавливаются </w:t>
      </w:r>
      <w:r>
        <w:rPr>
          <w:sz w:val="28"/>
          <w:szCs w:val="28"/>
        </w:rPr>
        <w:br w:type="textWrapping" w:clear="all"/>
        <w:t xml:space="preserve">на основе отнесения занимаемых ими должностей служащих к ПКГ, утвержденным приказами Министерства здравоохранения и социального развития Российской Федерации от 31 августа 2007 г. </w:t>
      </w:r>
      <w:hyperlink r:id="rId19" w:tooltip="https://login.consultant.ru/link/?req=doc&amp;base=LAW&amp;n=71507&amp;date=13.10.2021" w:history="1">
        <w:r>
          <w:rPr>
            <w:sz w:val="28"/>
            <w:szCs w:val="28"/>
          </w:rPr>
          <w:t xml:space="preserve">№ 570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культуры, искусства </w:t>
      </w:r>
      <w:r>
        <w:rPr>
          <w:sz w:val="28"/>
          <w:szCs w:val="28"/>
        </w:rPr>
        <w:br/>
        <w:t xml:space="preserve">и кинематографии», от 29 мая 2008 г. </w:t>
      </w:r>
      <w:hyperlink r:id="rId20" w:tooltip="https://login.consultant.ru/link/?req=doc&amp;base=LAW&amp;n=84164&amp;date=13.10.2021" w:history="1">
        <w:r>
          <w:rPr>
            <w:sz w:val="28"/>
            <w:szCs w:val="28"/>
          </w:rPr>
          <w:t xml:space="preserve">№ 247н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технических исполнителей </w:t>
      </w:r>
      <w:r>
        <w:rPr>
          <w:sz w:val="28"/>
          <w:szCs w:val="28"/>
        </w:rPr>
        <w:br w:type="textWrapping" w:clear="all"/>
        <w:t xml:space="preserve">и артистов вспомогательного состава», – 8 828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13 793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15 722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7 039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13 657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15 584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руководитель клубного формирования, любительского объединения, студии, коллектива самодеятельного искусства, клуба по интересам (кружка) – 14 467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режиссер, дирижер, балетмейстер, хормейстер – 15 070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13 657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13 657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13 657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bookmarkStart w:id="10" w:name="_Hlk178931734"/>
      <w:r>
        <w:rPr>
          <w:sz w:val="24"/>
          <w:szCs w:val="24"/>
        </w:rPr>
        <w:t xml:space="preserve">С учетом индексации должностных окладов с 01 января 2027 г. </w:t>
      </w:r>
      <w:bookmarkEnd w:id="10"/>
      <w:r>
        <w:rPr>
          <w:sz w:val="24"/>
          <w:szCs w:val="24"/>
        </w:rPr>
        <w:t xml:space="preserve">на уровень повышения 2026 г. (с 01 июля 2026 г. на 5,8 %).»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Пункт 4.1.1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«4.1.1. Размеры окладов работников муниципальных образовательных учреждений дополнительного образования детей в сфере культуры устанавливаются на основе отнесения занимаемых ими должностей служащих </w:t>
      </w:r>
      <w:r>
        <w:rPr>
          <w:sz w:val="28"/>
          <w:szCs w:val="28"/>
        </w:rPr>
        <w:br/>
        <w:t xml:space="preserve">к ПКГ, утвержденным приказами Министерства здравоохранения и социального развития Российской Федерации от 05 мая 2008 г. </w:t>
      </w:r>
      <w:hyperlink r:id="rId21" w:tooltip="https://login.consultant.ru/link/?req=doc&amp;base=LAW&amp;n=125537&amp;date=14.10.2021" w:history="1">
        <w:r>
          <w:rPr>
            <w:sz w:val="28"/>
            <w:szCs w:val="28"/>
          </w:rPr>
          <w:t xml:space="preserve">№ 216н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образования», от 29 мая 2008 г. </w:t>
      </w:r>
      <w:hyperlink r:id="rId22" w:tooltip="https://login.consultant.ru/link/?req=doc&amp;base=LAW&amp;n=84164&amp;date=14.10.2021" w:history="1">
        <w:r>
          <w:rPr>
            <w:sz w:val="28"/>
            <w:szCs w:val="28"/>
          </w:rPr>
          <w:t xml:space="preserve">№ 247н</w:t>
        </w:r>
      </w:hyperlink>
      <w:r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 xml:space="preserve">ждении профессиональных квалификационных групп общеотраслевых должностей руководителей, специалистов и служащих», от 18 июля 2008 г. № 342н «Об утверждении профессиональных квалификационных групп должностей работников печатных средств массовой информации»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квалификационная группа должностей педагогических работников – 29 763 руб. 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7 761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10 890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12 394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14 148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10 890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12 394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12 394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12 394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системный администратор – 12 394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г. (с 01 апреля 2025 г. на 9,5 %)</w:t>
      </w:r>
      <w:r>
        <w:rPr>
          <w:sz w:val="28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  <w:vertAlign w:val="superscript"/>
        </w:rPr>
        <w:t xml:space="preserve">2 </w:t>
      </w:r>
      <w:r>
        <w:rPr>
          <w:sz w:val="24"/>
          <w:szCs w:val="24"/>
        </w:rPr>
        <w:t xml:space="preserve">С учетом повышения должностных окладов с 01 января 2026 г.»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11" w:name="_Hlk85121938"/>
      <w:r/>
      <w:bookmarkStart w:id="12" w:name="_Hlk90454016"/>
      <w:r/>
      <w:bookmarkEnd w:id="7"/>
      <w:r/>
      <w:bookmarkEnd w:id="8"/>
      <w:r/>
      <w:bookmarkEnd w:id="9"/>
      <w:r>
        <w:rPr>
          <w:sz w:val="28"/>
          <w:szCs w:val="28"/>
        </w:rPr>
        <w:t xml:space="preserve">6. Пункт 4.1.1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«4.1.1. Размеры окладов работников муниципальных образовательных учреждений дополнительного образования детей в сфере культуры устанавливаются на основе отнесения занимаемых ими должностей служащих </w:t>
      </w:r>
      <w:r>
        <w:rPr>
          <w:sz w:val="28"/>
          <w:szCs w:val="28"/>
        </w:rPr>
        <w:br/>
        <w:t xml:space="preserve">к ПКГ, утвержденным приказами Министерства здравоохранения и социального развития Российской Федерации от 05 мая 2008 г. </w:t>
      </w:r>
      <w:hyperlink r:id="rId23" w:tooltip="https://login.consultant.ru/link/?req=doc&amp;base=LAW&amp;n=125537&amp;date=14.10.2021" w:history="1">
        <w:r>
          <w:rPr>
            <w:sz w:val="28"/>
            <w:szCs w:val="28"/>
          </w:rPr>
          <w:t xml:space="preserve">№ 216н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образования», от 29 мая 2008 г. </w:t>
      </w:r>
      <w:hyperlink r:id="rId24" w:tooltip="https://login.consultant.ru/link/?req=doc&amp;base=LAW&amp;n=84164&amp;date=14.10.2021" w:history="1">
        <w:r>
          <w:rPr>
            <w:sz w:val="28"/>
            <w:szCs w:val="28"/>
          </w:rPr>
          <w:t xml:space="preserve">№ 247н</w:t>
        </w:r>
      </w:hyperlink>
      <w:r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 xml:space="preserve">ждении профессиональных квалификационных групп общеотраслевых должностей руководителей, специалистов и служащих», от 18 июля 2008 г. № 342н «Об утверждении профессиональных квалификационных групп должностей работников печатных средств массовой информации»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квалификационная группа должностей педагогических работников – 29 763 руб. 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8 211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11 522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14 969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11 522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системный администратор – 13 113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с 01 января 2027 г. на уровень повышения 2026 г. (с 01 июля 2026 г. на 5,8 %)</w:t>
      </w:r>
      <w:r>
        <w:rPr>
          <w:sz w:val="24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  <w:vertAlign w:val="superscript"/>
        </w:rPr>
        <w:t xml:space="preserve">2 </w:t>
      </w:r>
      <w:r>
        <w:rPr>
          <w:sz w:val="24"/>
          <w:szCs w:val="24"/>
        </w:rPr>
        <w:t xml:space="preserve">С учетом повышения должностных окладов с 01 января 2026 г.»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Пункт 5.1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</w:t>
      </w:r>
      <w:bookmarkStart w:id="13" w:name="_Hlk85122164"/>
      <w:r/>
      <w:bookmarkStart w:id="14" w:name="_Hlk85122193"/>
      <w:r>
        <w:rPr>
          <w:sz w:val="28"/>
          <w:szCs w:val="28"/>
        </w:rPr>
        <w:t xml:space="preserve">Размеры окладов рабочих в муниципальных учреждениях культуры </w:t>
      </w:r>
      <w:r>
        <w:rPr>
          <w:sz w:val="28"/>
          <w:szCs w:val="28"/>
        </w:rPr>
        <w:br w:type="textWrapping" w:clear="all"/>
        <w:t xml:space="preserve">устанавливаются в зависимости от разряда выполняемых работ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12 025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13 226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15 032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17 437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18 839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20 043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20 639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21 243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 xml:space="preserve">С учетом повышения должностных окладов с 01 января 2026 г.»</w:t>
      </w:r>
      <w:bookmarkEnd w:id="11"/>
      <w:r/>
      <w:bookmarkEnd w:id="12"/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8. Пункт 5.1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Размеры окладов рабочих, являющихся работниками муниципальных библиотек, устанавливаются в зависимости от разряда выполняемых работ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14 084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15 493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17 605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20 420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22 064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23 472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24 177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24 880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rPr>
          <w:sz w:val="28"/>
          <w:szCs w:val="24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 xml:space="preserve">С учетом повышения должностных окладов с 01 января 2026 г.»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15" w:name="_Hlk85119943"/>
      <w:r/>
      <w:bookmarkStart w:id="16" w:name="_Hlk85122313"/>
      <w:r/>
      <w:bookmarkEnd w:id="13"/>
      <w:r/>
      <w:bookmarkEnd w:id="14"/>
      <w:r>
        <w:rPr>
          <w:sz w:val="28"/>
          <w:szCs w:val="28"/>
        </w:rPr>
        <w:t xml:space="preserve">9. Пункт 5.1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Размеры окладов рабочих в муниципальных образовательных учреждениях дополнительного образования детей в сфере культуры устанавливаются в зависимости от разряда выполняемых работ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7 512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8 263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9 390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10 890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11 768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12 521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12 896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13 272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г. (с 01 апреля 2025 г. на 9,5 %).»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17" w:name="_Hlk117847481"/>
      <w:r/>
      <w:bookmarkEnd w:id="15"/>
      <w:r>
        <w:rPr>
          <w:sz w:val="28"/>
          <w:szCs w:val="28"/>
        </w:rPr>
        <w:t xml:space="preserve">10. Пункт 5.1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Размеры окладов рабочих в муниципальных образовательных учреждениях дополнительного образования детей в сфере культуры устанавливаются в зависимости от разряда выполняемых работ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7 948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8 742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9 935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11 522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12 451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13 247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13 644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14 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2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с 01 января 2027 г. на уровень повышения 2026 г. (с 01 июля 2026 г. на 5,8 %).»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Пункт 5.1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Размеры окладов рабочих, являющихся работниками муниципальных учреждений, осуществляющих деятельность в сфере молодежной политики, устанавливаются в зависимости от разряда выполняемых работ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7 822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8 603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9 777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11 343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12 253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13 037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13 427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13 817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с 01 января 2026 г. на уровень повышения 2025 г. (с 01 апреля 2025 г. на 9,5 %).»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12. </w:t>
      </w:r>
      <w:r>
        <w:rPr>
          <w:sz w:val="28"/>
          <w:szCs w:val="28"/>
        </w:rPr>
        <w:t xml:space="preserve">Пункт 5.1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Размеры окладов рабочих, являющихся работниками муниципальных учреждений, осуществляющих деятельность в сфере молодежной политики, устанавливаются в зависимости от разряда выполняемых работ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8 276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9 102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10 344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12 964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13 793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14 206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14 618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С учетом индексации должностных окладов с 01 января 2027 г. на уровень повышения 2026 г. (с 01 июля 2026 г. на 5,8 %).»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bookmarkEnd w:id="16"/>
      <w:r/>
      <w:bookmarkEnd w:id="17"/>
      <w:r>
        <w:rPr>
          <w:sz w:val="28"/>
          <w:szCs w:val="28"/>
        </w:rPr>
        <w:t xml:space="preserve">Приложение 2 изложить в редакции согласно приложению 1 </w:t>
      </w:r>
      <w:r>
        <w:rPr>
          <w:sz w:val="28"/>
          <w:szCs w:val="28"/>
        </w:rPr>
        <w:br/>
        <w:t xml:space="preserve">к настоящим изменениям.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Приложение 3 изложить в редакции согласно приложению 2 </w:t>
      </w:r>
      <w:r>
        <w:rPr>
          <w:sz w:val="28"/>
          <w:szCs w:val="28"/>
        </w:rPr>
        <w:br/>
        <w:t xml:space="preserve">к настоящим изменениям.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8" w:name="_Hlk178589643"/>
      <w:r/>
      <w:bookmarkEnd w:id="1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Приложение 1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к изменениям в Положение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об отраслевой системе оплаты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труда работников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муниципальных автономных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и бюджетных учреждений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в сфере культуры, молодежной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политики и муниципальных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образовательных учреждений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дополнительного образования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детей в сфере культуры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города Перми, утвержденное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постановлением администрации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города Перми от 20 октября 2009 г.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№ 698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художественного и артистического персонала,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руководителей и специалистов муниципальных учреждений культуры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города Перми, осуществляющих театральную деятельность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7"/>
        <w:gridCol w:w="3978"/>
        <w:gridCol w:w="1304"/>
        <w:gridCol w:w="1304"/>
        <w:gridCol w:w="1304"/>
        <w:gridCol w:w="1304"/>
      </w:tblGrid>
      <w:tr>
        <w:tblPrEx/>
        <w:trPr/>
        <w:tc>
          <w:tcPr>
            <w:tcW w:w="36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263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Должностной оклад, руб. 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tcW w:w="361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br/>
              <w:t xml:space="preserve">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</w:t>
            </w:r>
            <w:r>
              <w:rPr>
                <w:sz w:val="28"/>
                <w:szCs w:val="28"/>
              </w:rPr>
              <w:br/>
              <w:t xml:space="preserve">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3979"/>
        <w:gridCol w:w="1304"/>
        <w:gridCol w:w="1304"/>
        <w:gridCol w:w="1304"/>
        <w:gridCol w:w="1294"/>
      </w:tblGrid>
      <w:tr>
        <w:tblPrEx/>
        <w:trPr>
          <w:tblHeader/>
        </w:trPr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дирижер;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хормейстер;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балетмейстер;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художник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30 614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17 505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режиссер-постановщик;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балетмейстер-постановщик;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режиссер (дирижер, балетмейстер, хормейстер);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литературно-драматургической части;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музыкальной частью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22 588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художественно-постановочной частью, программой (коллектива) цирка;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реставрационной мастерской;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(сектором) дома (дворца) культуры, парка культуры </w:t>
            </w:r>
            <w:r>
              <w:rPr>
                <w:sz w:val="28"/>
                <w:szCs w:val="28"/>
              </w:rPr>
              <w:br/>
              <w:t xml:space="preserve">и отдыха, научно-методического центра народного творчества, дома народного творчества, центра народной культуры (культуры </w:t>
            </w:r>
            <w:r>
              <w:rPr>
                <w:sz w:val="28"/>
                <w:szCs w:val="28"/>
              </w:rPr>
              <w:br/>
              <w:t xml:space="preserve">и досуга) и других аналогичных учреждений и организаций;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отделением (пунктом) по прокату кино- </w:t>
            </w:r>
            <w:r>
              <w:rPr>
                <w:sz w:val="28"/>
                <w:szCs w:val="28"/>
              </w:rPr>
              <w:br/>
              <w:t xml:space="preserve">и видеофильмов;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художественно-оформительской мастерской;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съемочной группы;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творческого коллектива, программы циркового конвейера;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режиссер массовых представлений;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клубного формирования-любительского объединения, студии, коллектива самодеятельного искусства, клуба по интересам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«Должности технических исполнителей и артистов вспомогательного состава»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 вспомогательного состава театров и концертных организаций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контролер билетов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костюмерной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билетными кассами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репетитор по технике речи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ассистенты: режиссера, дирижера, балетмейстера, хормейстера;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режиссера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10 855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звукооператор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художник-постановщик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14 804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художник-бутафор;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художник-гример;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художник-декоратор;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художник-конструктор;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художник-скульптор;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 по свету;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художник-модельер театрального костюма;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художник-реставратор;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художник-фотограф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22 588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главного режиссера (главного дирижера, главного балетмейстера, художественного руководителя), заведующий труппой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 по классу вокала (балета)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репетитор по вокалу;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репетитор по балету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10 855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артист-вокалист (солист);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 балета;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 оркестра;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 хора;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 драмы;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 (кукловод) театра кукол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(старший администратор)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лектор-искусствовед (музыковед);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чтец-мастер художественного слова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8 100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8 100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8 100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редактор (музыкальный редактор);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редактор по репертуару;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суфлер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аккомпаниатор-концертмейстер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фольклору;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жанрам творчества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8 371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8 371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8 371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складом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работе </w:t>
            </w:r>
            <w:r>
              <w:rPr>
                <w:sz w:val="28"/>
                <w:szCs w:val="28"/>
              </w:rPr>
              <w:br/>
              <w:t xml:space="preserve">с молодежью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 вычислительного (информационно-вычислительного) центра;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техник-конструктор;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техник-лаборант;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 по защите информации;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 по инвентаризации строений и сооружений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 по труду;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техник-программист;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техник-технолог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хозяйственного отдела;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мастерской;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ремонтного цеха;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смены (участка);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цеха (участка)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br/>
              <w:t xml:space="preserve">(в соответствии с направлением деятельности)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18 056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6 267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6 267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6 267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агент;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агент по закупкам;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агент по снабжению;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агент рекламный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9 212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9 212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9 212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экспедитор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5 733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5 733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5 733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по учету;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кассир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8 371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8 371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8 371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автоматизации </w:t>
            </w:r>
            <w:r>
              <w:rPr>
                <w:sz w:val="28"/>
                <w:szCs w:val="28"/>
              </w:rPr>
              <w:br w:type="textWrapping" w:clear="all"/>
              <w:t xml:space="preserve">и механизации производственных процессов;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защите информации;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инженер-конструктор (конструктор);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инженер-лаборант;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наладке </w:t>
            </w:r>
            <w:r>
              <w:rPr>
                <w:sz w:val="28"/>
                <w:szCs w:val="28"/>
              </w:rPr>
              <w:br/>
              <w:t xml:space="preserve">и испытаниям;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нормированию труда;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организации </w:t>
            </w:r>
            <w:r>
              <w:rPr>
                <w:sz w:val="28"/>
                <w:szCs w:val="28"/>
              </w:rPr>
              <w:br w:type="textWrapping" w:clear="all"/>
              <w:t xml:space="preserve">и нормированию труда;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организации труда;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организации управления производством;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подготовке кадров;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подготовке производства;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ремонту;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 (программист);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инженер-технолог (технолог);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инженер-энергетик (энергетик);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11 504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инженер-электроник (электроник)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по персоналу;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по рекламе;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 по связям </w:t>
            </w:r>
            <w:r>
              <w:rPr>
                <w:sz w:val="28"/>
                <w:szCs w:val="28"/>
              </w:rPr>
              <w:br/>
              <w:t xml:space="preserve">с общественностью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защите информации;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маркетингу;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связям </w:t>
            </w:r>
            <w:r>
              <w:rPr>
                <w:sz w:val="28"/>
                <w:szCs w:val="28"/>
              </w:rPr>
              <w:br/>
              <w:t xml:space="preserve">с общественностью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специалисты: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отделах, отделениях, лабораториях, мастерских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9 212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9 212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9 212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9 212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сурдопереводчик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(аналитик, диспетчер, конструктор, металлург, метролог, механик, сварщик, специалист по защите информации, технолог, эксперт, энергетик)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10 166</w:t>
            </w:r>
            <w:r/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окладов директора, заместителя директора, художественного </w:t>
            </w:r>
            <w:r>
              <w:rPr>
                <w:sz w:val="28"/>
                <w:szCs w:val="28"/>
              </w:rPr>
              <w:br w:type="textWrapping" w:clear="all"/>
              <w:t xml:space="preserve">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не являющийся первым лицом 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30 614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17 505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27 749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18 117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18 117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художественный руководитель, не являющийся первым лицом 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199 445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152 784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138 405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126 282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художественный руководитель,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являющиеся первыми лицами 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230 059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172 545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158 166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158 166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W w:w="46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окладов работников, занимающих должности, не включенные </w:t>
            </w:r>
            <w:r>
              <w:rPr>
                <w:sz w:val="28"/>
                <w:szCs w:val="28"/>
              </w:rPr>
              <w:br/>
              <w:t xml:space="preserve">в профессиональные квалификационные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4"/>
        </w:trPr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режиссер;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звукорежиссер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30 614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17 505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администратор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18 056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инженер-электрик 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11 504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11 504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общим вопросам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12 420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11 504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13 761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11 237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18 056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16 5</w:t>
            </w:r>
            <w:r>
              <w:rPr>
                <w:sz w:val="28"/>
                <w:szCs w:val="28"/>
                <w:lang w:val="en-US"/>
              </w:rPr>
              <w:t xml:space="preserve">61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65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 xml:space="preserve">С учетом повышения должностных окладов с 01 января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Должность относится к административно-управленческому персоналу.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rPr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Приложение 2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к изменениям в Положение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об отраслевой системе оплаты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труда работников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муниципальных автономных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и бюджетных учреждений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в сфере культуры, молодежной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политики и муниципальных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образовательных учреждений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дополнительного образования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детей в сфере культуры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города Перми, утвержденное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постановлением администрации 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города Перми от 20 октября 2009 г.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</w:rPr>
        <w:outlineLvl w:val="1"/>
      </w:pPr>
      <w:r>
        <w:rPr>
          <w:rFonts w:eastAsia="Calibri"/>
          <w:sz w:val="28"/>
          <w:szCs w:val="22"/>
        </w:rPr>
        <w:t xml:space="preserve">№ 698</w:t>
      </w:r>
      <w:r>
        <w:rPr>
          <w:rFonts w:eastAsia="Calibri"/>
          <w:sz w:val="28"/>
          <w:szCs w:val="22"/>
        </w:rPr>
      </w:r>
      <w:r>
        <w:rPr>
          <w:rFonts w:eastAsia="Calibri"/>
          <w:sz w:val="28"/>
          <w:szCs w:val="2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рабочих муниципальных учреждений культуры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города Перми, осуществляющих театральную деятельность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371"/>
        <w:gridCol w:w="18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Должностной оклад, руб. 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371"/>
        <w:gridCol w:w="188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«Профессии рабочих культуры, искусства и кинематографии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бутафор;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гример-постижер;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постижер;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машинист сцены;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осветитель;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столяр по изготовлению и ремонту деталей и узлов музыкальных инструментов;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столяр по изготовлению декораций;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монтировщик сцены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маляр по отделке декораций;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реквизитор;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установщик декораций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косметик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4 929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кассир билетный;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контролер-кассир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5 733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производственных помещений;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территорий;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5 160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транспортно-уборочной машины;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электро- и автотележки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сторож (вахтер)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Размеры окладов работников, занимающих должности, не включенные </w:t>
            </w:r>
            <w:r>
              <w:rPr>
                <w:sz w:val="28"/>
                <w:szCs w:val="28"/>
              </w:rPr>
              <w:br w:type="textWrapping" w:clear="all"/>
              <w:t xml:space="preserve">в профессиональные квалификационные группы 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закройщик;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(в соответствии с направлением деятельности);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(в соответствии с направлением деятельности)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6 913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стиральных машин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5 160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 </w:t>
      </w:r>
      <w:r>
        <w:rPr>
          <w:sz w:val="24"/>
          <w:szCs w:val="24"/>
        </w:rPr>
        <w:t xml:space="preserve">С учетом повышения должностных окладов с 01 января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Должности относятся к вспомогательному персоналу.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7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3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7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4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1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9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6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3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0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7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6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rPr>
      <w:lang w:eastAsia="ru-RU"/>
    </w:rPr>
  </w:style>
  <w:style w:type="paragraph" w:styleId="698">
    <w:name w:val="Heading 1"/>
    <w:basedOn w:val="697"/>
    <w:next w:val="697"/>
    <w:link w:val="723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24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97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743" w:customStyle="1">
    <w:name w:val="Header Char"/>
    <w:uiPriority w:val="99"/>
  </w:style>
  <w:style w:type="paragraph" w:styleId="744">
    <w:name w:val="Footer"/>
    <w:basedOn w:val="697"/>
    <w:link w:val="973"/>
    <w:uiPriority w:val="99"/>
    <w:pPr>
      <w:tabs>
        <w:tab w:val="center" w:pos="4153" w:leader="none"/>
        <w:tab w:val="right" w:pos="8306" w:leader="none"/>
      </w:tabs>
    </w:pPr>
  </w:style>
  <w:style w:type="character" w:styleId="745" w:customStyle="1">
    <w:name w:val="Footer Char"/>
    <w:uiPriority w:val="99"/>
  </w:style>
  <w:style w:type="paragraph" w:styleId="746">
    <w:name w:val="Caption"/>
    <w:basedOn w:val="697"/>
    <w:next w:val="697"/>
    <w:link w:val="74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7" w:customStyle="1">
    <w:name w:val="Название объекта Знак"/>
    <w:link w:val="746"/>
    <w:uiPriority w:val="99"/>
  </w:style>
  <w:style w:type="table" w:styleId="748">
    <w:name w:val="Table Grid"/>
    <w:basedOn w:val="70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4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/>
      <w:u w:val="single"/>
    </w:rPr>
  </w:style>
  <w:style w:type="paragraph" w:styleId="875">
    <w:name w:val="footnote text"/>
    <w:basedOn w:val="697"/>
    <w:link w:val="981"/>
  </w:style>
  <w:style w:type="character" w:styleId="876" w:customStyle="1">
    <w:name w:val="Footnote Text Char"/>
    <w:uiPriority w:val="99"/>
    <w:rPr>
      <w:sz w:val="18"/>
    </w:rPr>
  </w:style>
  <w:style w:type="character" w:styleId="877">
    <w:name w:val="footnote reference"/>
    <w:rPr>
      <w:vertAlign w:val="superscript"/>
    </w:rPr>
  </w:style>
  <w:style w:type="paragraph" w:styleId="878">
    <w:name w:val="endnote text"/>
    <w:basedOn w:val="697"/>
    <w:link w:val="980"/>
  </w:style>
  <w:style w:type="character" w:styleId="879" w:customStyle="1">
    <w:name w:val="Endnote Text Char"/>
    <w:uiPriority w:val="99"/>
    <w:rPr>
      <w:sz w:val="20"/>
    </w:rPr>
  </w:style>
  <w:style w:type="character" w:styleId="880">
    <w:name w:val="endnote reference"/>
    <w:rPr>
      <w:vertAlign w:val="superscript"/>
    </w:rPr>
  </w:style>
  <w:style w:type="paragraph" w:styleId="881">
    <w:name w:val="toc 1"/>
    <w:basedOn w:val="697"/>
    <w:next w:val="697"/>
    <w:uiPriority w:val="39"/>
    <w:unhideWhenUsed/>
    <w:pPr>
      <w:spacing w:after="57"/>
    </w:pPr>
  </w:style>
  <w:style w:type="paragraph" w:styleId="882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83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4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5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6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7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8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9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697"/>
    <w:next w:val="697"/>
    <w:uiPriority w:val="99"/>
    <w:unhideWhenUsed/>
  </w:style>
  <w:style w:type="paragraph" w:styleId="892">
    <w:name w:val="Body Text"/>
    <w:basedOn w:val="697"/>
    <w:link w:val="916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697"/>
    <w:pPr>
      <w:ind w:right="-1"/>
      <w:jc w:val="both"/>
    </w:pPr>
    <w:rPr>
      <w:sz w:val="26"/>
    </w:rPr>
  </w:style>
  <w:style w:type="character" w:styleId="894">
    <w:name w:val="page number"/>
    <w:basedOn w:val="707"/>
  </w:style>
  <w:style w:type="paragraph" w:styleId="895">
    <w:name w:val="Balloon Text"/>
    <w:basedOn w:val="697"/>
    <w:link w:val="896"/>
    <w:uiPriority w:val="99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uiPriority w:val="99"/>
    <w:rPr>
      <w:rFonts w:ascii="Segoe UI" w:hAnsi="Segoe UI" w:cs="Segoe UI"/>
      <w:sz w:val="18"/>
      <w:szCs w:val="18"/>
    </w:rPr>
  </w:style>
  <w:style w:type="character" w:styleId="897" w:customStyle="1">
    <w:name w:val="Верхний колонтитул Знак"/>
    <w:link w:val="742"/>
    <w:uiPriority w:val="99"/>
  </w:style>
  <w:style w:type="numbering" w:styleId="898" w:customStyle="1">
    <w:name w:val="Нет списка1"/>
    <w:next w:val="709"/>
    <w:uiPriority w:val="99"/>
    <w:semiHidden/>
    <w:unhideWhenUsed/>
  </w:style>
  <w:style w:type="character" w:styleId="899">
    <w:name w:val="FollowedHyperlink"/>
    <w:uiPriority w:val="99"/>
    <w:unhideWhenUsed/>
    <w:rPr>
      <w:color w:val="800080"/>
      <w:u w:val="single"/>
    </w:rPr>
  </w:style>
  <w:style w:type="paragraph" w:styleId="900" w:customStyle="1">
    <w:name w:val="xl65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6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67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3" w:customStyle="1">
    <w:name w:val="xl6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4" w:customStyle="1">
    <w:name w:val="xl69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0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 w:customStyle="1">
    <w:name w:val="xl71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2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3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4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5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7"/>
    <w:basedOn w:val="6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8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9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Форма"/>
    <w:rPr>
      <w:sz w:val="28"/>
      <w:szCs w:val="28"/>
      <w:lang w:eastAsia="ru-RU"/>
    </w:rPr>
  </w:style>
  <w:style w:type="character" w:styleId="916" w:customStyle="1">
    <w:name w:val="Основной текст Знак"/>
    <w:link w:val="892"/>
    <w:rPr>
      <w:rFonts w:ascii="Courier New" w:hAnsi="Courier New"/>
      <w:sz w:val="26"/>
    </w:rPr>
  </w:style>
  <w:style w:type="paragraph" w:styleId="917" w:customStyle="1">
    <w:name w:val="ConsPlusNormal"/>
    <w:rPr>
      <w:sz w:val="28"/>
      <w:szCs w:val="28"/>
      <w:lang w:eastAsia="ru-RU"/>
    </w:rPr>
  </w:style>
  <w:style w:type="numbering" w:styleId="918" w:customStyle="1">
    <w:name w:val="Нет списка11"/>
    <w:next w:val="709"/>
    <w:uiPriority w:val="99"/>
    <w:semiHidden/>
    <w:unhideWhenUsed/>
  </w:style>
  <w:style w:type="numbering" w:styleId="919" w:customStyle="1">
    <w:name w:val="Нет списка111"/>
    <w:next w:val="709"/>
    <w:uiPriority w:val="99"/>
    <w:semiHidden/>
    <w:unhideWhenUsed/>
  </w:style>
  <w:style w:type="paragraph" w:styleId="920" w:customStyle="1">
    <w:name w:val="font5"/>
    <w:basedOn w:val="6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1" w:customStyle="1">
    <w:name w:val="xl8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1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3" w:customStyle="1">
    <w:name w:val="xl82"/>
    <w:basedOn w:val="6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8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8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89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0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9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4"/>
    <w:basedOn w:val="6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8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0" w:customStyle="1">
    <w:name w:val="xl99"/>
    <w:basedOn w:val="6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10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8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9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1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2"/>
    <w:basedOn w:val="6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4" w:customStyle="1">
    <w:name w:val="xl11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4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5"/>
    <w:basedOn w:val="6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7" w:customStyle="1">
    <w:name w:val="xl116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7"/>
    <w:basedOn w:val="6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9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2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1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2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7" w:customStyle="1">
    <w:name w:val="Нет списка2"/>
    <w:next w:val="709"/>
    <w:uiPriority w:val="99"/>
    <w:semiHidden/>
    <w:unhideWhenUsed/>
  </w:style>
  <w:style w:type="numbering" w:styleId="968" w:customStyle="1">
    <w:name w:val="Нет списка3"/>
    <w:next w:val="709"/>
    <w:uiPriority w:val="99"/>
    <w:semiHidden/>
    <w:unhideWhenUsed/>
  </w:style>
  <w:style w:type="paragraph" w:styleId="969" w:customStyle="1">
    <w:name w:val="font6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7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1" w:customStyle="1">
    <w:name w:val="font8"/>
    <w:basedOn w:val="6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2" w:customStyle="1">
    <w:name w:val="Нет списка4"/>
    <w:next w:val="709"/>
    <w:uiPriority w:val="99"/>
    <w:semiHidden/>
    <w:unhideWhenUsed/>
  </w:style>
  <w:style w:type="character" w:styleId="973" w:customStyle="1">
    <w:name w:val="Нижний колонтитул Знак"/>
    <w:link w:val="744"/>
    <w:uiPriority w:val="99"/>
  </w:style>
  <w:style w:type="paragraph" w:styleId="97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table" w:styleId="975" w:customStyle="1">
    <w:name w:val="Сетка таблицы1"/>
    <w:basedOn w:val="708"/>
    <w:next w:val="748"/>
    <w:uiPriority w:val="39"/>
    <w:rPr>
      <w:rFonts w:ascii="Calibri" w:hAnsi="Calibri" w:eastAsia="Calibri"/>
      <w:sz w:val="22"/>
      <w:szCs w:val="22"/>
      <w:lang w:eastAsia="en-US"/>
    </w:rPr>
    <w:tblPr/>
  </w:style>
  <w:style w:type="character" w:styleId="976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977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78">
    <w:name w:val="HTML Preformatted"/>
    <w:basedOn w:val="697"/>
    <w:link w:val="979"/>
    <w:rPr>
      <w:rFonts w:ascii="Courier New" w:hAnsi="Courier New" w:cs="Courier New"/>
    </w:rPr>
  </w:style>
  <w:style w:type="character" w:styleId="979" w:customStyle="1">
    <w:name w:val="Стандартный HTML Знак"/>
    <w:link w:val="978"/>
    <w:rPr>
      <w:rFonts w:ascii="Courier New" w:hAnsi="Courier New" w:cs="Courier New"/>
    </w:rPr>
  </w:style>
  <w:style w:type="character" w:styleId="980" w:customStyle="1">
    <w:name w:val="Текст концевой сноски Знак"/>
    <w:basedOn w:val="707"/>
    <w:link w:val="878"/>
  </w:style>
  <w:style w:type="character" w:styleId="981" w:customStyle="1">
    <w:name w:val="Текст сноски Знак"/>
    <w:basedOn w:val="707"/>
    <w:link w:val="87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71507&amp;date=13.10.2021" TargetMode="External"/><Relationship Id="rId14" Type="http://schemas.openxmlformats.org/officeDocument/2006/relationships/hyperlink" Target="https://login.consultant.ru/link/?req=doc&amp;base=LAW&amp;n=84164&amp;date=13.10.2021" TargetMode="External"/><Relationship Id="rId15" Type="http://schemas.openxmlformats.org/officeDocument/2006/relationships/hyperlink" Target="https://login.consultant.ru/link/?req=doc&amp;base=LAW&amp;n=71507&amp;date=13.10.2021" TargetMode="External"/><Relationship Id="rId16" Type="http://schemas.openxmlformats.org/officeDocument/2006/relationships/hyperlink" Target="https://login.consultant.ru/link/?req=doc&amp;base=LAW&amp;n=84164&amp;date=13.10.2021" TargetMode="External"/><Relationship Id="rId17" Type="http://schemas.openxmlformats.org/officeDocument/2006/relationships/hyperlink" Target="https://login.consultant.ru/link/?req=doc&amp;base=LAW&amp;n=71507&amp;date=13.10.2021" TargetMode="External"/><Relationship Id="rId18" Type="http://schemas.openxmlformats.org/officeDocument/2006/relationships/hyperlink" Target="https://login.consultant.ru/link/?req=doc&amp;base=LAW&amp;n=84164&amp;date=13.10.2021" TargetMode="External"/><Relationship Id="rId19" Type="http://schemas.openxmlformats.org/officeDocument/2006/relationships/hyperlink" Target="https://login.consultant.ru/link/?req=doc&amp;base=LAW&amp;n=71507&amp;date=13.10.2021" TargetMode="External"/><Relationship Id="rId20" Type="http://schemas.openxmlformats.org/officeDocument/2006/relationships/hyperlink" Target="https://login.consultant.ru/link/?req=doc&amp;base=LAW&amp;n=84164&amp;date=13.10.2021" TargetMode="External"/><Relationship Id="rId21" Type="http://schemas.openxmlformats.org/officeDocument/2006/relationships/hyperlink" Target="https://login.consultant.ru/link/?req=doc&amp;base=LAW&amp;n=125537&amp;date=14.10.2021" TargetMode="External"/><Relationship Id="rId22" Type="http://schemas.openxmlformats.org/officeDocument/2006/relationships/hyperlink" Target="https://login.consultant.ru/link/?req=doc&amp;base=LAW&amp;n=84164&amp;date=14.10.2021" TargetMode="External"/><Relationship Id="rId23" Type="http://schemas.openxmlformats.org/officeDocument/2006/relationships/hyperlink" Target="https://login.consultant.ru/link/?req=doc&amp;base=LAW&amp;n=125537&amp;date=14.10.2021" TargetMode="External"/><Relationship Id="rId24" Type="http://schemas.openxmlformats.org/officeDocument/2006/relationships/hyperlink" Target="https://login.consultant.ru/link/?req=doc&amp;base=LAW&amp;n=84164&amp;date=14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6A42-2424-4AB0-A0A4-F6FA096E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dc:description/>
  <cp:lastModifiedBy>samokhvalova-ev</cp:lastModifiedBy>
  <cp:revision>5</cp:revision>
  <dcterms:created xsi:type="dcterms:W3CDTF">2025-10-20T08:16:00Z</dcterms:created>
  <dcterms:modified xsi:type="dcterms:W3CDTF">2025-10-21T10:07:06Z</dcterms:modified>
  <cp:version>1048576</cp:version>
</cp:coreProperties>
</file>