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-542290</wp:posOffset>
                </wp:positionV>
                <wp:extent cx="6285865" cy="1598295"/>
                <wp:effectExtent l="0" t="0" r="635" b="1905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982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511810"/>
                                        <wp:effectExtent l="0" t="0" r="0" b="0"/>
                                        <wp:docPr id="3" name="Рисунок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7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511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5pt;height:40.30pt;mso-wrap-distance-left:0.00pt;mso-wrap-distance-top:0.00pt;mso-wrap-distance-right:0.00pt;mso-wrap-distance-bottom:0.00pt;" stroked="f">
                                        <v:path textboxrect="0,0,0,0"/>
                                        <v:imagedata r:id="rId16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margin;margin-left:1.45pt;mso-position-horizontal:absolute;mso-position-vertical-relative:text;margin-top:-42.70pt;mso-position-vertical:absolute;width:494.95pt;height:125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3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511810"/>
                                  <wp:effectExtent l="0" t="0" r="0" b="0"/>
                                  <wp:docPr id="3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5pt;height:40.30pt;mso-wrap-distance-left:0.00pt;mso-wrap-distance-top:0.00pt;mso-wrap-distance-right:0.00pt;mso-wrap-distance-bottom:0.00pt;" stroked="f">
                                  <v:path textboxrect="0,0,0,0"/>
                                  <v:imagedata r:id="rId1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5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br/>
      </w:r>
      <w:r>
        <w:rPr>
          <w:b/>
        </w:rPr>
        <w:t xml:space="preserve">в </w:t>
      </w:r>
      <w:r>
        <w:rPr>
          <w:b/>
        </w:rPr>
        <w:t xml:space="preserve">постановление </w:t>
      </w:r>
      <w:r>
        <w:rPr>
          <w:b/>
        </w:rPr>
      </w:r>
      <w:r>
        <w:rPr>
          <w:b/>
        </w:rPr>
      </w:r>
    </w:p>
    <w:p>
      <w:pPr>
        <w:pStyle w:val="957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26</w:t>
      </w:r>
      <w:r>
        <w:rPr>
          <w:b/>
          <w:sz w:val="28"/>
          <w:szCs w:val="28"/>
        </w:rPr>
        <w:t xml:space="preserve">.0</w:t>
      </w:r>
      <w:r>
        <w:rPr>
          <w:b/>
          <w:sz w:val="28"/>
          <w:szCs w:val="28"/>
        </w:rPr>
        <w:t xml:space="preserve">2.20</w:t>
      </w:r>
      <w:r>
        <w:rPr>
          <w:b/>
          <w:sz w:val="28"/>
          <w:szCs w:val="28"/>
        </w:rPr>
        <w:t xml:space="preserve">16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127</w:t>
      </w:r>
      <w:r>
        <w:rPr>
          <w:b/>
          <w:sz w:val="28"/>
          <w:szCs w:val="28"/>
        </w:rPr>
        <w:t xml:space="preserve"> «Об утверждении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Правил определения требований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 закупаемым заказчиками города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Перми отдельным видам товаров,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работ, услуг (в том числе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предельных цен товаров, работ, услуг)»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7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актуализации нормативных правовых актов администрации города Перми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</w:t>
      </w:r>
      <w:r>
        <w:rPr>
          <w:rFonts w:eastAsia="Calibri"/>
          <w:caps/>
          <w:sz w:val="28"/>
          <w:szCs w:val="28"/>
          <w:lang w:eastAsia="en-US"/>
        </w:rPr>
        <w:t xml:space="preserve">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Внести в постановление администрации города Перми </w:t>
      </w:r>
      <w:r>
        <w:rPr>
          <w:rFonts w:eastAsia="Calibri"/>
          <w:sz w:val="28"/>
          <w:szCs w:val="28"/>
          <w:lang w:eastAsia="en-US"/>
        </w:rPr>
        <w:t xml:space="preserve">от 26.02.2016 </w:t>
        <w:br/>
        <w:t xml:space="preserve">№ 127 «Об утверждении Правил определения требований к закупаемым заказчиками города Перми отдельным видам товаров, работ, услуг (в том числе предельных цен товаров, работ, услуг)» </w:t>
      </w:r>
      <w:r>
        <w:rPr>
          <w:rFonts w:eastAsia="Calibri"/>
          <w:sz w:val="28"/>
          <w:szCs w:val="28"/>
          <w:lang w:eastAsia="en-US"/>
        </w:rPr>
        <w:t xml:space="preserve">(в ред. от 01.06.2016 </w:t>
      </w:r>
      <w:r>
        <w:rPr>
          <w:rFonts w:eastAsia="Calibri"/>
          <w:sz w:val="28"/>
          <w:szCs w:val="28"/>
          <w:lang w:eastAsia="en-US"/>
        </w:rPr>
        <w:t xml:space="preserve">№ 368, от 18.05.2017 № 370, от 27.09.2017 № 766, от 08.</w:t>
      </w:r>
      <w:r>
        <w:rPr>
          <w:rFonts w:eastAsia="Calibri"/>
          <w:sz w:val="28"/>
          <w:szCs w:val="28"/>
          <w:lang w:eastAsia="en-US"/>
        </w:rPr>
        <w:t xml:space="preserve">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162-П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14.04.2022 №</w:t>
      </w:r>
      <w:r>
        <w:rPr>
          <w:rFonts w:eastAsia="Calibri"/>
          <w:sz w:val="28"/>
          <w:szCs w:val="28"/>
          <w:lang w:eastAsia="en-US"/>
        </w:rPr>
        <w:t xml:space="preserve"> 280, от 14.08.2024 </w:t>
        <w:br/>
        <w:t xml:space="preserve">№ 653</w:t>
      </w:r>
      <w:r>
        <w:rPr>
          <w:rFonts w:eastAsia="Calibri"/>
          <w:sz w:val="28"/>
          <w:szCs w:val="28"/>
          <w:lang w:eastAsia="en-US"/>
        </w:rPr>
        <w:t xml:space="preserve">) следующие изменения: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1.1.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дополнить пунктом 1(1) следующего содержания: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«1 (1).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Установить, что по решению руководителей муниципальных органов (главных распорядителей бюджетных средств) установленные в обязательном перечне отдельных видов товаров, работ, услуг, в отношении которых определяются требования к их потребительским сво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й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ствам (в том числе качеству) и иным характеристикам (в том числе предельные цены товаров, работ, услуг),утвержденном настоящим постановлением, размеры предельных цен товаров, за исключением автомобилей легковых,средств автотранспортных для перевозки 10 или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более человек,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цен, а разм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е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ры предельных цен автомобилей легковых, средств автотранспортных для перевозки 10 или более человек - не более чем на индекс потребительских цен на легковой автомобиль (отечественный, новый) по данным Федеральной службы государственной статистики за период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действия указанных предельных цен.».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Внести изменения в Правила</w:t>
      </w:r>
      <w:r>
        <w:rPr>
          <w:rFonts w:eastAsia="Calibri"/>
          <w:sz w:val="28"/>
          <w:szCs w:val="28"/>
          <w:lang w:eastAsia="en-US"/>
        </w:rPr>
        <w:t xml:space="preserve"> определения требований к закупаемым заказчиками города Перми отдельным видам товаров, работ, услуг (в том числе предельных цен товаров, работ, услуг), </w:t>
      </w:r>
      <w:r>
        <w:rPr>
          <w:rFonts w:eastAsia="Calibri"/>
          <w:sz w:val="28"/>
          <w:szCs w:val="28"/>
          <w:lang w:eastAsia="en-US"/>
        </w:rPr>
        <w:t xml:space="preserve">утвержденные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остановлением администрации города Перми от 26 февраля 2016 г.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127 </w:t>
      </w:r>
      <w:r>
        <w:rPr>
          <w:sz w:val="28"/>
          <w:szCs w:val="28"/>
        </w:rPr>
        <w:t xml:space="preserve">«Об утверждении Правил определения требований к закупаемым заказчиками города Перми отдельным видам товаров, работ, услуг (в том числе предельных цен товаров, работ, услуг)</w:t>
      </w:r>
      <w:r>
        <w:rPr>
          <w:sz w:val="28"/>
          <w:szCs w:val="28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 (в ред. от 01.06.2016 </w:t>
      </w:r>
      <w:r>
        <w:rPr>
          <w:rFonts w:eastAsia="Calibri"/>
          <w:sz w:val="28"/>
          <w:szCs w:val="28"/>
          <w:lang w:eastAsia="en-US"/>
        </w:rPr>
        <w:t xml:space="preserve">№ 368, от 18.05.2017 № 370, от 27.09.2017 № 766, от 08.</w:t>
      </w:r>
      <w:r>
        <w:rPr>
          <w:rFonts w:eastAsia="Calibri"/>
          <w:sz w:val="28"/>
          <w:szCs w:val="28"/>
          <w:lang w:eastAsia="en-US"/>
        </w:rPr>
        <w:t xml:space="preserve">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162-П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14.04.2022 №</w:t>
      </w:r>
      <w:r>
        <w:rPr>
          <w:rFonts w:eastAsia="Calibri"/>
          <w:sz w:val="28"/>
          <w:szCs w:val="28"/>
          <w:lang w:eastAsia="en-US"/>
        </w:rPr>
        <w:t xml:space="preserve"> 280, </w:t>
      </w:r>
      <w:r>
        <w:rPr>
          <w:rFonts w:eastAsia="Calibri"/>
          <w:sz w:val="28"/>
          <w:szCs w:val="28"/>
          <w:lang w:eastAsia="en-US"/>
        </w:rPr>
        <w:t xml:space="preserve">от 14.08.2024 № 653</w:t>
      </w:r>
      <w:r>
        <w:rPr>
          <w:rFonts w:eastAsia="Calibri"/>
          <w:sz w:val="28"/>
          <w:szCs w:val="28"/>
          <w:lang w:eastAsia="en-US"/>
        </w:rPr>
        <w:t xml:space="preserve">),</w:t>
      </w:r>
      <w:r>
        <w:rPr>
          <w:rFonts w:eastAsia="Calibri"/>
          <w:sz w:val="28"/>
          <w:szCs w:val="28"/>
          <w:lang w:eastAsia="en-US"/>
        </w:rPr>
        <w:t xml:space="preserve"> следующие изменения: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2.1. пункт 8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«8.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с учетом следующих требований: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959"/>
        <w:ind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8.1.</w:t>
      </w:r>
      <w:r>
        <w:rPr>
          <w:rFonts w:ascii="Times New Roman" w:hAnsi="Times New Roman" w:cs="Times New Roman"/>
          <w:sz w:val="28"/>
          <w:szCs w:val="28"/>
        </w:rPr>
        <w:t xml:space="preserve"> если затраты на приобретение отдельных видов товаров, работ, услуг в соответствии с пр</w:t>
      </w:r>
      <w:r>
        <w:rPr>
          <w:rFonts w:ascii="Times New Roman" w:hAnsi="Times New Roman" w:cs="Times New Roman"/>
          <w:sz w:val="28"/>
          <w:szCs w:val="28"/>
        </w:rPr>
        <w:t xml:space="preserve">авилами определения нормативных затрат на обеспечение функций муниципальных органов города Перми, включая подведомственные казенные учреждения,</w:t>
      </w:r>
      <w:r>
        <w:rPr>
          <w:rFonts w:ascii="Times New Roman" w:hAnsi="Times New Roman" w:cs="Times New Roman"/>
          <w:sz w:val="28"/>
          <w:szCs w:val="28"/>
        </w:rPr>
        <w:t xml:space="preserve"> утве</w:t>
      </w:r>
      <w:r>
        <w:rPr>
          <w:rFonts w:ascii="Times New Roman" w:hAnsi="Times New Roman" w:cs="Times New Roman"/>
          <w:sz w:val="28"/>
          <w:szCs w:val="28"/>
        </w:rPr>
        <w:t xml:space="preserve">ржденными постановлением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Перми от 09.06.2016 № 404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нормативных затрат на обеспечение функций муниципальных органов города Перми, включая подведомственные казенные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» (далее - правила определения нормативных затрат), определяют</w:t>
      </w:r>
      <w:r>
        <w:rPr>
          <w:rFonts w:ascii="Times New Roman" w:hAnsi="Times New Roman" w:cs="Times New Roman"/>
          <w:sz w:val="28"/>
          <w:szCs w:val="28"/>
        </w:rPr>
        <w:t xml:space="preserve">ся с учетом должностей работникови (или) категорий должностей работников, то значения устанавливаются с учетом должностей работников и (или) категорий должностей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органов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ind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если затраты на приобретение отдельных видов товаров, работ, услуг в соответствии с правилами определения нормативных затрат с учетом должностей работников и (или) категорий должнос</w:t>
      </w:r>
      <w:r>
        <w:rPr>
          <w:rFonts w:ascii="Times New Roman" w:hAnsi="Times New Roman" w:cs="Times New Roman"/>
          <w:sz w:val="28"/>
          <w:szCs w:val="28"/>
        </w:rPr>
        <w:t xml:space="preserve">тей работников не определяются, то значения устанавливаются с учетом должностей работников и (или) категорий должностей работников в случае принятия соответствующего решения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органом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8.3.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ключение значений «бензин» и «дизельное топливо» характеристики «вид топлива» автомобилей легковых, средств автотранспортных для перевозки 10 или более человек в ведомственный перечень осуществляется при условии обоснования в соответствующей графе формы, п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р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едусмотренной Приложением к настоящим Правилам, невозможности использования значений «сжиженный природный газ», «компримированный природный газ», «смешанное топливо (дизельное топливо, компримированный природный газ или сжиженный природный газ)», в том чис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л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е в связи с отсутствием на территории планируемой эксплуатации закупаемых автомобилей легковых, средств автотранспортных для перевозки 10 или более человек действующих объектов газозаправочной инфраструктуры и (или) зарядной инфраструктуры для электрическо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го автомобильного транспорта.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».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2.2. Приложение изложить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 редакции согласно приложению к настоящему постановлению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Внести и</w:t>
      </w:r>
      <w:r>
        <w:rPr>
          <w:rFonts w:eastAsia="Calibri"/>
          <w:sz w:val="28"/>
          <w:szCs w:val="28"/>
          <w:lang w:eastAsia="en-US"/>
        </w:rPr>
        <w:t xml:space="preserve">зменения в обязательный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услуг), утвержденный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остановлением администрации города Перми от 26 февраля 2016 г.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127 </w:t>
      </w:r>
      <w:r>
        <w:rPr>
          <w:sz w:val="28"/>
          <w:szCs w:val="28"/>
        </w:rPr>
        <w:t xml:space="preserve">«Об утверждении Правил определения требований к закупаемым заказчиками города Перми отдельным видам товаров, работ, услуг (в том числе предельных цен товаров, работ, услуг)</w:t>
      </w:r>
      <w:r>
        <w:rPr>
          <w:sz w:val="28"/>
          <w:szCs w:val="28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 (в ред. от 01.06.2016 </w:t>
      </w:r>
      <w:r>
        <w:rPr>
          <w:rFonts w:eastAsia="Calibri"/>
          <w:sz w:val="28"/>
          <w:szCs w:val="28"/>
          <w:lang w:eastAsia="en-US"/>
        </w:rPr>
        <w:t xml:space="preserve">№ 368, от 18.05.2017 № 370, от 27.09.2017 № 766, от 08.</w:t>
      </w:r>
      <w:r>
        <w:rPr>
          <w:rFonts w:eastAsia="Calibri"/>
          <w:sz w:val="28"/>
          <w:szCs w:val="28"/>
          <w:lang w:eastAsia="en-US"/>
        </w:rPr>
        <w:t xml:space="preserve">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162-П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14.04.2022 №</w:t>
      </w:r>
      <w:r>
        <w:rPr>
          <w:rFonts w:eastAsia="Calibri"/>
          <w:sz w:val="28"/>
          <w:szCs w:val="28"/>
          <w:lang w:eastAsia="en-US"/>
        </w:rPr>
        <w:t xml:space="preserve"> 280, </w:t>
      </w:r>
      <w:r>
        <w:rPr>
          <w:rFonts w:eastAsia="Calibri"/>
          <w:sz w:val="28"/>
          <w:szCs w:val="28"/>
          <w:lang w:eastAsia="en-US"/>
        </w:rPr>
        <w:t xml:space="preserve">от 14.08.2024 № 653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, изложив в редакции согласно приложению к настоящему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остановлению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40" w:lineRule="auto"/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постановление вступает в силу со дня официального обнародования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Style w:val="940"/>
          <w:color w:val="auto"/>
          <w:sz w:val="28"/>
          <w:szCs w:val="28"/>
          <w:u w:val="none"/>
        </w:rPr>
        <w:t xml:space="preserve">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40" w:lineRule="auto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Управлению по общим вопросам администр</w:t>
      </w:r>
      <w:r>
        <w:rPr>
          <w:sz w:val="28"/>
          <w:szCs w:val="28"/>
        </w:rPr>
        <w:t xml:space="preserve">ации города Перми обеспечить об</w:t>
      </w:r>
      <w:r>
        <w:rPr>
          <w:sz w:val="28"/>
          <w:szCs w:val="28"/>
        </w:rPr>
        <w:t xml:space="preserve">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</w:t>
      </w:r>
      <w:r>
        <w:rPr>
          <w:sz w:val="28"/>
          <w:szCs w:val="28"/>
        </w:rPr>
        <w:t xml:space="preserve">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</w:t>
      </w:r>
      <w:r>
        <w:rPr>
          <w:sz w:val="28"/>
          <w:szCs w:val="28"/>
        </w:rPr>
        <w:t xml:space="preserve"> Фурман Я.В.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40" w:lineRule="auto"/>
        <w:widowControl w:val="off"/>
        <w:tabs>
          <w:tab w:val="left" w:pos="993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240" w:lineRule="exact"/>
        <w:rPr>
          <w:sz w:val="28"/>
          <w:szCs w:val="24"/>
        </w:rPr>
        <w:sectPr>
          <w:headerReference w:type="default" r:id="rId8"/>
          <w:headerReference w:type="even" r:id="rId9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  <w:t xml:space="preserve">          </w:t>
      </w:r>
      <w:r>
        <w:rPr>
          <w:sz w:val="28"/>
          <w:szCs w:val="24"/>
        </w:rPr>
        <w:tab/>
        <w:t xml:space="preserve">                                                        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Э.О. 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Приложение к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</w:pPr>
      <w:r>
        <w:rPr>
          <w:sz w:val="28"/>
          <w:szCs w:val="28"/>
          <w:highlight w:val="none"/>
        </w:rPr>
        <w:t xml:space="preserve">«Приложение </w:t>
      </w:r>
      <w:r>
        <w:rPr>
          <w:sz w:val="28"/>
          <w:szCs w:val="28"/>
          <w:highlight w:val="none"/>
        </w:rPr>
      </w:r>
      <w:r/>
    </w:p>
    <w:p>
      <w:pPr>
        <w:ind w:left="9639"/>
        <w:spacing w:line="240" w:lineRule="exact"/>
      </w:pPr>
      <w:r>
        <w:rPr>
          <w:sz w:val="28"/>
          <w:szCs w:val="28"/>
          <w:highlight w:val="none"/>
        </w:rPr>
        <w:t xml:space="preserve">к Правилам</w:t>
      </w:r>
      <w:r>
        <w:rPr>
          <w:sz w:val="28"/>
          <w:szCs w:val="28"/>
          <w:highlight w:val="none"/>
        </w:rPr>
      </w:r>
      <w:r/>
    </w:p>
    <w:p>
      <w:pPr>
        <w:ind w:left="9639"/>
        <w:spacing w:line="240" w:lineRule="exact"/>
      </w:pPr>
      <w:r>
        <w:rPr>
          <w:sz w:val="28"/>
          <w:szCs w:val="28"/>
          <w:highlight w:val="none"/>
        </w:rPr>
        <w:t xml:space="preserve">определения требований</w:t>
      </w:r>
      <w:r>
        <w:rPr>
          <w:sz w:val="28"/>
          <w:szCs w:val="28"/>
          <w:highlight w:val="none"/>
        </w:rPr>
      </w:r>
      <w:r/>
    </w:p>
    <w:p>
      <w:pPr>
        <w:ind w:left="9639"/>
        <w:spacing w:line="240" w:lineRule="exact"/>
      </w:pPr>
      <w:r>
        <w:rPr>
          <w:sz w:val="28"/>
          <w:szCs w:val="28"/>
          <w:highlight w:val="none"/>
        </w:rPr>
        <w:t xml:space="preserve">к закупаемым заказчиками</w:t>
      </w:r>
      <w:r>
        <w:rPr>
          <w:sz w:val="28"/>
          <w:szCs w:val="28"/>
          <w:highlight w:val="none"/>
        </w:rPr>
      </w:r>
      <w:r/>
    </w:p>
    <w:p>
      <w:pPr>
        <w:ind w:left="9639"/>
        <w:spacing w:line="240" w:lineRule="exact"/>
      </w:pPr>
      <w:r>
        <w:rPr>
          <w:sz w:val="28"/>
          <w:szCs w:val="28"/>
          <w:highlight w:val="none"/>
        </w:rPr>
        <w:t xml:space="preserve">города Перми отдельным видам</w:t>
      </w:r>
      <w:r>
        <w:rPr>
          <w:sz w:val="28"/>
          <w:szCs w:val="28"/>
          <w:highlight w:val="none"/>
        </w:rPr>
      </w:r>
      <w:r/>
    </w:p>
    <w:p>
      <w:pPr>
        <w:ind w:left="9639"/>
        <w:spacing w:line="240" w:lineRule="exact"/>
      </w:pPr>
      <w:r>
        <w:rPr>
          <w:sz w:val="28"/>
          <w:szCs w:val="28"/>
          <w:highlight w:val="none"/>
        </w:rPr>
        <w:t xml:space="preserve">товаров, работ, услуг</w:t>
      </w:r>
      <w:r>
        <w:rPr>
          <w:sz w:val="28"/>
          <w:szCs w:val="28"/>
          <w:highlight w:val="none"/>
        </w:rPr>
      </w:r>
      <w:r/>
    </w:p>
    <w:p>
      <w:pPr>
        <w:ind w:left="9639"/>
        <w:spacing w:line="240" w:lineRule="exact"/>
      </w:pPr>
      <w:r>
        <w:rPr>
          <w:sz w:val="28"/>
          <w:szCs w:val="28"/>
          <w:highlight w:val="none"/>
        </w:rPr>
        <w:t xml:space="preserve">(в том числе предельных цен</w:t>
      </w:r>
      <w:r>
        <w:rPr>
          <w:sz w:val="28"/>
          <w:szCs w:val="28"/>
          <w:highlight w:val="none"/>
        </w:rPr>
      </w:r>
      <w:r/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товаров, работ, услуг)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(форма)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jc w:val="center"/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959"/>
        <w:jc w:val="center"/>
        <w:rPr>
          <w:sz w:val="24"/>
          <w:szCs w:val="24"/>
          <w:highlight w:val="none"/>
        </w:rPr>
      </w:pPr>
      <w:r/>
      <w:bookmarkStart w:id="0" w:name="undefined"/>
      <w:r/>
      <w:bookmarkEnd w:id="0"/>
      <w:r>
        <w:rPr>
          <w:sz w:val="24"/>
        </w:rPr>
        <w:t xml:space="preserve">ВЕДОМСТВЕННЫЙ ПЕРЕЧЕНЬ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59"/>
        <w:jc w:val="center"/>
      </w:pPr>
      <w:r>
        <w:rPr>
          <w:sz w:val="24"/>
        </w:rPr>
        <w:t xml:space="preserve">отдельных видов товаров, работ, услуг, их потребительские</w:t>
      </w:r>
      <w:r/>
    </w:p>
    <w:p>
      <w:pPr>
        <w:pStyle w:val="959"/>
        <w:jc w:val="center"/>
      </w:pPr>
      <w:r>
        <w:rPr>
          <w:sz w:val="24"/>
        </w:rPr>
        <w:t xml:space="preserve">свойства (в том числе качество) и иные характеристики (в том</w:t>
      </w:r>
      <w:r/>
    </w:p>
    <w:p>
      <w:pPr>
        <w:pStyle w:val="959"/>
        <w:jc w:val="center"/>
      </w:pPr>
      <w:r>
        <w:rPr>
          <w:sz w:val="24"/>
        </w:rPr>
        <w:t xml:space="preserve">числе предельные цены товаров, работ, услуг)</w:t>
      </w:r>
      <w:r/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964"/>
        <w:gridCol w:w="1814"/>
        <w:gridCol w:w="794"/>
        <w:gridCol w:w="907"/>
        <w:gridCol w:w="964"/>
        <w:gridCol w:w="1077"/>
        <w:gridCol w:w="964"/>
        <w:gridCol w:w="1388"/>
        <w:gridCol w:w="1617"/>
        <w:gridCol w:w="3910"/>
      </w:tblGrid>
      <w:tr>
        <w:tblPrEx/>
        <w:trPr/>
        <w:tc>
          <w:tcPr>
            <w:tcW w:w="340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964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ОКПД2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Наименование отдельного вида товаров, работ, услуг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gridSpan w:val="2"/>
            <w:tcW w:w="2041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Требования к потребительским свойствам (в том числе качеству) и иным характеристикам, утвержденные постановлением администрации города Перми, в обязательном перечне</w:t>
            </w:r>
            <w:r/>
          </w:p>
        </w:tc>
        <w:tc>
          <w:tcPr>
            <w:gridSpan w:val="4"/>
            <w:tcW w:w="7879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Требования к потребительским свойствам (в том числе качеству) и иным характеристикам, утвержденные заказчиком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код по </w:t>
            </w:r>
            <w:r>
              <w:rPr>
                <w:sz w:val="24"/>
              </w:rPr>
              <w:t xml:space="preserve">ОКЕИ</w:t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характеристика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значение характеристики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характеристика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значение характеристики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59"/>
              <w:jc w:val="center"/>
            </w:pPr>
            <w:r>
              <w:rPr>
                <w:sz w:val="24"/>
                <w:highlight w:val="none"/>
              </w:rPr>
            </w:r>
            <w:r>
              <w:rPr>
                <w:rFonts w:eastAsia="Calibri"/>
                <w:color w:val="000000" w:themeColor="text1"/>
                <w:sz w:val="24"/>
                <w:highlight w:val="none"/>
              </w:rPr>
              <w:t xml:space="preserve">&lt;**&gt;</w:t>
            </w:r>
            <w:r>
              <w:rPr>
                <w:rFonts w:eastAsia="Calibri"/>
                <w:sz w:val="24"/>
                <w:highlight w:val="none"/>
              </w:rPr>
              <w:t xml:space="preserve">&lt;***&gt;</w:t>
            </w:r>
            <w:r>
              <w:rPr>
                <w:sz w:val="24"/>
                <w:highlight w:val="none"/>
              </w:rPr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обоснование отклонения значения характеристики от утвержденной постановлением администрации города Перми в обязательном перечне</w:t>
            </w:r>
            <w:r/>
          </w:p>
        </w:tc>
        <w:tc>
          <w:tcPr>
            <w:tcW w:w="3910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функциональное назначение &lt;*&gt;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3910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11</w:t>
            </w:r>
            <w:r/>
          </w:p>
        </w:tc>
      </w:tr>
      <w:tr>
        <w:tblPrEx/>
        <w:trPr/>
        <w:tc>
          <w:tcPr>
            <w:gridSpan w:val="11"/>
            <w:tcW w:w="14739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Отдельные виды товаров, работ, услуг, включенные в обязательный </w:t>
            </w:r>
            <w:hyperlink w:tooltip="ОБЯЗАТЕЛЬНЫЙ ПЕРЕЧЕНЬ" w:anchor="P167" w:history="1">
              <w:r>
                <w:rPr>
                  <w:color w:val="000000" w:themeColor="text1"/>
                  <w:sz w:val="24"/>
                </w:rPr>
                <w:t xml:space="preserve">перечень</w:t>
              </w:r>
            </w:hyperlink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видов товаров, работ, услуг, предусмотренный приложением 2 к Правилам определения требований к закупаемым заказчиками города Перми отдельным видам товаров, работ, услуг (в том числе предельных цен товаров, работ, услуг)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3910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3910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11"/>
            <w:tcW w:w="14739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Дополнительный перечень отдельных видов товаров, работ, услуг, определенный муниципальными органами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3910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59"/>
            </w:pPr>
            <w:r>
              <w:rPr>
                <w:sz w:val="24"/>
              </w:rPr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3910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</w:tr>
    </w:tbl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9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959"/>
        <w:ind w:firstLine="540"/>
        <w:jc w:val="both"/>
        <w:spacing w:before="240"/>
      </w:pPr>
      <w:r>
        <w:rPr>
          <w:sz w:val="24"/>
        </w:rPr>
        <w:t xml:space="preserve">&lt;*&gt; Указывается в случае установления характеристик, отличающихся от зн</w:t>
      </w:r>
      <w:r>
        <w:rPr>
          <w:sz w:val="24"/>
        </w:rPr>
        <w:t xml:space="preserve">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  <w:r/>
    </w:p>
    <w:p>
      <w:pPr>
        <w:ind w:firstLine="540"/>
        <w:jc w:val="both"/>
        <w:spacing w:before="168" w:line="288" w:lineRule="atLeast"/>
        <w:rPr>
          <w:sz w:val="24"/>
          <w:highlight w:val="none"/>
        </w:rPr>
      </w:pPr>
      <w:r>
        <w:rPr>
          <w:sz w:val="24"/>
          <w:highlight w:val="none"/>
        </w:rPr>
        <w:t xml:space="preserve">&lt;**&gt; В значении характеристик «Тип двигателя (силовой установки)» указывается «двигатель внутреннего сгорания», или «энергетическая установка гибридного транспортного средства», или «электродвигатель». </w:t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ind w:firstLine="540"/>
        <w:jc w:val="both"/>
        <w:spacing w:before="168" w:line="288" w:lineRule="atLeast"/>
        <w:rPr>
          <w:sz w:val="24"/>
          <w:highlight w:val="none"/>
        </w:rPr>
      </w:pPr>
      <w:r>
        <w:rPr>
          <w:sz w:val="24"/>
          <w:highlight w:val="none"/>
        </w:rPr>
        <w:t xml:space="preserve">&lt;***&gt;</w:t>
      </w:r>
      <w:bookmarkStart w:id="0" w:name="undefined"/>
      <w:r>
        <w:rPr>
          <w:sz w:val="24"/>
          <w:highlight w:val="none"/>
        </w:rPr>
        <w:t xml:space="preserve"> В значении характеристик «Вид двигателя» указывается «бензин», или «сжиженный природный газ», или «компримированный природный газ»</w:t>
      </w:r>
      <w:r>
        <w:rPr>
          <w:sz w:val="24"/>
          <w:highlight w:val="none"/>
        </w:rPr>
        <w:t xml:space="preserve">, или «дизельное топливо», или «смешанное топливо (дизельное топливо, компримированный природный газ или сжиженный природный газ)». Не указывается в случае указания «электродвигатель» в качестве значения характеристики «Тип двигателя (силовой установки)».</w:t>
      </w:r>
      <w:r>
        <w:rPr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Включение значений «бензин» и «дизельное топливо» характеристики «вид топлива» автомобилей легковых,</w:t>
      </w:r>
      <w:r>
        <w:rPr>
          <w:sz w:val="24"/>
          <w:highlight w:val="none"/>
        </w:rPr>
        <w:t xml:space="preserve"> </w:t>
      </w:r>
      <w:r>
        <w:rPr>
          <w:sz w:val="24"/>
        </w:rPr>
        <w:t xml:space="preserve">средств автотранспортных для перевозки 10 или более человек </w:t>
      </w:r>
      <w:r>
        <w:rPr>
          <w:sz w:val="24"/>
          <w:highlight w:val="none"/>
        </w:rPr>
        <w:t xml:space="preserve">осуществляется при условии обоснования невозможности использования значений «сжиженный </w:t>
      </w:r>
      <w:r>
        <w:rPr>
          <w:sz w:val="24"/>
          <w:highlight w:val="none"/>
        </w:rPr>
        <w:t xml:space="preserve">п</w:t>
      </w:r>
      <w:r>
        <w:rPr>
          <w:sz w:val="24"/>
          <w:highlight w:val="none"/>
        </w:rPr>
        <w:t xml:space="preserve">риродный газ», «компримированный природный газ», «смешанное топливо (дизельное топливо, компримированный природный газ или сжиженный природный газ)», в том числе в связи с отсутствием на территории планируемой эксплуатации закупаемых автомобилей легковых, </w:t>
      </w:r>
      <w:r>
        <w:rPr>
          <w:sz w:val="24"/>
        </w:rPr>
        <w:t xml:space="preserve">средств автотранспортных для перевозки 10 или более человек</w:t>
      </w:r>
      <w:r>
        <w:rPr>
          <w:sz w:val="24"/>
          <w:highlight w:val="none"/>
        </w:rPr>
        <w:t xml:space="preserve"> действующих объектов газозаправочной инфраструктуры и (или) зарядной инфраструктуры для электрического автомобильного транспорта.</w:t>
      </w:r>
      <w:bookmarkEnd w:id="0"/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ОБЯЗАТЕЛЬНЫЙ ПЕРЕЧЕНЬ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отдельных видов товаров, работ, услуг, в отношении которых определяются требования к потребительским </w:t>
      </w:r>
      <w:r>
        <w:rPr>
          <w:rFonts w:eastAsia="Calibri"/>
          <w:b/>
          <w:sz w:val="28"/>
          <w:szCs w:val="28"/>
        </w:rPr>
        <w:br/>
        <w:t xml:space="preserve">свойствам (в том числе качеству) и иным характеристикам (в том числе предельные цены товаров, работ, услуг)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spacing w:after="120"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081"/>
        <w:gridCol w:w="1755"/>
        <w:gridCol w:w="2295"/>
        <w:gridCol w:w="1041"/>
        <w:gridCol w:w="850"/>
        <w:gridCol w:w="1238"/>
        <w:gridCol w:w="1214"/>
        <w:gridCol w:w="1485"/>
        <w:gridCol w:w="1485"/>
        <w:gridCol w:w="1348"/>
      </w:tblGrid>
      <w:tr>
        <w:tblPrEx/>
        <w:trPr>
          <w:trHeight w:val="20"/>
          <w:tblHeader/>
        </w:trPr>
        <w:tc>
          <w:tcPr>
            <w:gridSpan w:val="11"/>
            <w:tcMar>
              <w:left w:w="62" w:type="dxa"/>
              <w:right w:w="62" w:type="dxa"/>
            </w:tcMar>
            <w:tcW w:w="14845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. Требования к потребительским свойствам (в том числе качеству) и иным характеристикам (в том числе предельные цены товаров, работ, услуг) отдельных видов товаров, работ, услуг, устанавливаемые с учетом должностей работников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  <w:tblHeader/>
        </w:trPr>
        <w:tc>
          <w:tcPr>
            <w:tcMar>
              <w:left w:w="62" w:type="dxa"/>
              <w:right w:w="62" w:type="dxa"/>
            </w:tcMar>
            <w:tcW w:w="10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ОКПД2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75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товара, работы, услуги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Mar>
              <w:left w:w="62" w:type="dxa"/>
              <w:right w:w="62" w:type="dxa"/>
            </w:tcMar>
            <w:tcW w:w="109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потребительским свойствам (в том числе качеству) и иным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характеристикам (в том числе предельные цены) отдельных видов товаров, работ,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  <w:tblHeader/>
        </w:trPr>
        <w:tc>
          <w:tcPr>
            <w:tcMar>
              <w:left w:w="62" w:type="dxa"/>
              <w:right w:w="62" w:type="dxa"/>
            </w:tcMar>
            <w:tcW w:w="105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229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Mar>
              <w:left w:w="62" w:type="dxa"/>
              <w:right w:w="62" w:type="dxa"/>
            </w:tcMar>
            <w:tcW w:w="189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Mar>
              <w:left w:w="62" w:type="dxa"/>
              <w:right w:w="62" w:type="dxa"/>
            </w:tcMar>
            <w:tcW w:w="67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характеристики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  <w:tblHeader/>
        </w:trPr>
        <w:tc>
          <w:tcPr>
            <w:tcMar>
              <w:left w:w="62" w:type="dxa"/>
              <w:right w:w="62" w:type="dxa"/>
            </w:tcMar>
            <w:tcW w:w="105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2295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04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ОКЕИ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Mar>
              <w:left w:w="62" w:type="dxa"/>
              <w:right w:w="62" w:type="dxa"/>
            </w:tcMar>
            <w:tcW w:w="41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должности муниципальной службы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3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работники, должности которых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отнесены </w:t>
            </w:r>
            <w:r>
              <w:rPr>
                <w:sz w:val="22"/>
                <w:szCs w:val="22"/>
              </w:rPr>
              <w:br/>
              <w:t xml:space="preserve">к должностям муниципальной службы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  <w:tblHeader/>
        </w:trPr>
        <w:tc>
          <w:tcPr>
            <w:tcMar>
              <w:left w:w="62" w:type="dxa"/>
              <w:right w:w="62" w:type="dxa"/>
            </w:tcMar>
            <w:tcW w:w="105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755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2295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04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23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высшая должность муниципальной службы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4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главная должность муниципальной службы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4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ведущая, старшая, младшая должность муниципальной службы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34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1081"/>
        <w:gridCol w:w="1757"/>
        <w:gridCol w:w="2299"/>
        <w:gridCol w:w="1036"/>
        <w:gridCol w:w="850"/>
        <w:gridCol w:w="1245"/>
        <w:gridCol w:w="1214"/>
        <w:gridCol w:w="1484"/>
        <w:gridCol w:w="1484"/>
        <w:gridCol w:w="1348"/>
      </w:tblGrid>
      <w:tr>
        <w:tblPrEx/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0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0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75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Компьютеры портативные массой не более 10 кг, такие как ноутбуки, планшетные компьютеры, карманные компьютеры,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совмещающие </w:t>
            </w:r>
            <w:r>
              <w:rPr>
                <w:sz w:val="22"/>
                <w:szCs w:val="22"/>
              </w:rPr>
              <w:t xml:space="preserve">функции мобильного телефонного аппарата, электронные записные книжки и аналогичная компьютерная техника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ноутбуки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диагонали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дюйм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Компьютеры портативные массой не более 10 кг, такие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планшетные компьютеры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экрана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дюйм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</w:t>
            </w:r>
            <w:r>
              <w:rPr>
                <w:sz w:val="22"/>
                <w:szCs w:val="22"/>
              </w:rPr>
              <w:t xml:space="preserve"> оперативной памяти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Гбайт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встроенной памяти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Гбайт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ГЛОНАСС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вычислительные электронные цифровые прочие, содержащие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</w:t>
            </w:r>
            <w:r>
              <w:rPr>
                <w:sz w:val="22"/>
                <w:szCs w:val="22"/>
              </w:rPr>
              <w:t xml:space="preserve">компьютер персональный</w:t>
            </w:r>
            <w:r>
              <w:rPr>
                <w:sz w:val="22"/>
                <w:szCs w:val="22"/>
              </w:rPr>
              <w:t xml:space="preserve"> настольный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моноблок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</w:r>
            <w:r>
              <w:rPr>
                <w:sz w:val="22"/>
                <w:szCs w:val="22"/>
              </w:rPr>
              <w:t xml:space="preserve">диагонали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дюйм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вычислительные электронные цифровые прочие, содержащие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истемный блок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оперативной установленной памяти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Гбайт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проекторы, преимущественно используемые в системах автоматической обработки данных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монитор, подключаемый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компьютеру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диагонали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дюйм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 обзора по вертикали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градус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 обзора по горизонтали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градус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26.30.11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коммуникационная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передающая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приемными устройствами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телефоны мобильные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поддерживаемые стандарты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модулей и </w:t>
            </w:r>
            <w:r>
              <w:rPr>
                <w:sz w:val="22"/>
                <w:szCs w:val="22"/>
              </w:rPr>
              <w:t xml:space="preserve">интерфейсов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 xml:space="preserve">Wi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Fi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Bluetooth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USB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GPS</w:t>
            </w:r>
            <w:r>
              <w:rPr>
                <w:sz w:val="22"/>
                <w:szCs w:val="22"/>
              </w:rPr>
              <w:t xml:space="preserve">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61.20.11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подвижной связи общего пользования – обеспечение доступа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поддержка пользователя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оказание услуг подвижной радиотелефонной связи,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мобильной связи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(ежемесячные расходы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одного служащего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работника)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главам </w:t>
            </w:r>
            <w:r>
              <w:rPr>
                <w:sz w:val="22"/>
                <w:szCs w:val="22"/>
              </w:rPr>
              <w:br/>
              <w:t xml:space="preserve">территориальных органов администрации города Перми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br/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ведущую должность муниципальной службы – 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000, </w:t>
            </w:r>
            <w:r>
              <w:rPr>
                <w:sz w:val="22"/>
                <w:szCs w:val="22"/>
              </w:rPr>
              <w:br/>
              <w:t xml:space="preserve">на старшую </w:t>
            </w:r>
            <w:r>
              <w:rPr>
                <w:sz w:val="22"/>
                <w:szCs w:val="22"/>
              </w:rPr>
              <w:br/>
              <w:t xml:space="preserve">и младшую должность муниципальной службы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(год)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180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180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Автомобили легковые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двигателя </w:t>
              <w:br/>
              <w:t xml:space="preserve">(силовой установки) &lt;*&gt;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2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двигателя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лошадиная сила</w:t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45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не более 200</w:t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14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не более 200</w:t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не более 200</w:t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не более 150</w:t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348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/>
            <w:r/>
          </w:p>
        </w:tc>
      </w:tr>
      <w:tr>
        <w:tblPrEx/>
        <w:trPr/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2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топлива </w:t>
            </w:r>
            <w:r>
              <w:rPr>
                <w:sz w:val="22"/>
                <w:szCs w:val="22"/>
              </w:rPr>
              <w:t xml:space="preserve">&lt;**&gt;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4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1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3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руб.</w:t>
            </w:r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не более 2000000</w:t>
            </w:r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не более 2000000</w:t>
            </w:r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не более 1500000</w:t>
            </w:r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не более 1000000</w:t>
            </w:r>
            <w:r/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pStyle w:val="923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автотранспортные для перевозки 10 или более человек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29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двигателя </w:t>
              <w:br/>
              <w:t xml:space="preserve">(силовой установки) &lt;*&gt;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1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3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8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2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двигателя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36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2"/>
                <w:szCs w:val="22"/>
              </w:rPr>
              <w:t xml:space="preserve">251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2"/>
                <w:szCs w:val="22"/>
              </w:rPr>
              <w:t xml:space="preserve">лошадиная сила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45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14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2"/>
                <w:szCs w:val="22"/>
              </w:rPr>
              <w:t xml:space="preserve">не более 150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3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8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2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топлива </w:t>
            </w:r>
            <w:r>
              <w:rPr>
                <w:sz w:val="22"/>
                <w:szCs w:val="22"/>
              </w:rPr>
              <w:t xml:space="preserve">&lt;**&gt;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1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3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8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2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36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</w:pPr>
            <w:r>
              <w:rPr>
                <w:sz w:val="24"/>
              </w:rPr>
              <w:t xml:space="preserve">руб.</w:t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4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21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3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31.01.11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Мебель металлическая для офисов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мебель для сидения, преимущественно с металлическим каркасом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ид материала обивки сидения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</w:t>
            </w:r>
            <w:r>
              <w:rPr>
                <w:sz w:val="22"/>
                <w:szCs w:val="22"/>
              </w:rPr>
              <w:t xml:space="preserve">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ид материала обивки спинки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ип каркаса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31.01.12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Мебель деревянная для офисов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мебель для сидения, преимуще</w:t>
            </w:r>
            <w:r>
              <w:rPr>
                <w:sz w:val="22"/>
                <w:szCs w:val="22"/>
              </w:rPr>
              <w:t xml:space="preserve">ственно с деревянным каркасом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ид материала обивки сидения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обивки;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искусственная;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обивки;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обивки;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искусственная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обивки;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обивки;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искусственная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ид материала обивки спинки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ез обивки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скусственная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ожа натуральная;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омпозиционный материал;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олиэстер;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етчатый акрил;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екстиль;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кокожа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ип каркаса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49.32.12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аренде легковых автомобилей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водителем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услуги по перевозке должностных лиц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двигателя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лошадиная сила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67"/>
        </w:trPr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</w:t>
            </w:r>
            <w:r>
              <w:rPr>
                <w:sz w:val="22"/>
                <w:szCs w:val="22"/>
              </w:rPr>
              <w:br/>
              <w:t xml:space="preserve">машино-часа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590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ffffff" w:themeFill="background1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67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8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49.39.39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перевозке пассажиров сухопутным транспортом прочие, не включенные в другие группировки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2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двигателя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лошадиная сила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 w:themeFill="background1"/>
            <w:tcMar>
              <w:left w:w="62" w:type="dxa"/>
              <w:top w:w="0" w:type="dxa"/>
              <w:right w:w="62" w:type="dxa"/>
              <w:bottom w:w="0" w:type="dxa"/>
            </w:tcMar>
            <w:tcW w:w="1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 w:themeFill="background1"/>
            <w:tcMar>
              <w:left w:w="62" w:type="dxa"/>
              <w:top w:w="0" w:type="dxa"/>
              <w:right w:w="62" w:type="dxa"/>
              <w:bottom w:w="0" w:type="dxa"/>
            </w:tcMar>
            <w:tcW w:w="121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 w:themeFill="background1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 w:themeFill="background1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34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18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8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7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2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</w:t>
            </w:r>
            <w:r>
              <w:rPr>
                <w:sz w:val="22"/>
                <w:szCs w:val="22"/>
              </w:rPr>
              <w:br/>
              <w:t xml:space="preserve">машино-часа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03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 w:themeFill="background1"/>
            <w:tcMar>
              <w:left w:w="62" w:type="dxa"/>
              <w:top w:w="0" w:type="dxa"/>
              <w:right w:w="62" w:type="dxa"/>
              <w:bottom w:w="0" w:type="dxa"/>
            </w:tcMar>
            <w:tcW w:w="12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590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 w:themeFill="background1"/>
            <w:tcMar>
              <w:left w:w="62" w:type="dxa"/>
              <w:top w:w="0" w:type="dxa"/>
              <w:right w:w="62" w:type="dxa"/>
              <w:bottom w:w="0" w:type="dxa"/>
            </w:tcMar>
            <w:tcW w:w="121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 w:themeFill="background1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 w:themeFill="background1"/>
            <w:tcMar>
              <w:left w:w="62" w:type="dxa"/>
              <w:top w:w="0" w:type="dxa"/>
              <w:right w:w="62" w:type="dxa"/>
              <w:bottom w:w="0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34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49.39.31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аренде городских и междугородных автобусов с водителем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услуги по перевозке должностных лиц автобусом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(от 10 человек)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  <w:br/>
              <w:t xml:space="preserve">машино-часа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62" w:type="dxa"/>
              <w:right w:w="62" w:type="dxa"/>
            </w:tcMar>
            <w:tcW w:w="10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0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77.11.10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62" w:type="dxa"/>
              <w:right w:w="62" w:type="dxa"/>
            </w:tcMar>
            <w:tcW w:w="175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аренде и лизингу легковых автомобилей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легких автотранспортных средств без водителя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двигателя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лошадиная сила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24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214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484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right w:w="62" w:type="dxa"/>
            </w:tcMar>
            <w:tcW w:w="1348" w:type="dxa"/>
            <w:textDirection w:val="lrTb"/>
            <w:noWrap w:val="false"/>
          </w:tcPr>
          <w:p>
            <w:pPr>
              <w:jc w:val="center"/>
              <w:spacing w:after="1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1081"/>
        <w:gridCol w:w="1757"/>
        <w:gridCol w:w="2299"/>
        <w:gridCol w:w="1036"/>
        <w:gridCol w:w="850"/>
        <w:gridCol w:w="6775"/>
      </w:tblGrid>
      <w:tr>
        <w:tblPrEx/>
        <w:trPr/>
        <w:tc>
          <w:tcPr>
            <w:gridSpan w:val="7"/>
            <w:shd w:val="clear" w:color="auto" w:fill="auto"/>
            <w:tcW w:w="148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 xml:space="preserve">II</w:t>
            </w:r>
            <w:r>
              <w:rPr>
                <w:sz w:val="22"/>
                <w:szCs w:val="22"/>
              </w:rPr>
              <w:t xml:space="preserve">. Требования к потребительским свойствам (в том числе качеству) и иным характеристикам (в том числе предельные цены товаров, работ, услуг) отдельных видов товаров, работ, услуг, устанавливаемые без учета должностей работников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ОКПД2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товара, работы, услуги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1096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потребительским свойствам (в том числе качеству) и иным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характеристикам (в том числе предельные цены) отдельных видов товаров, работ,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  <w:t xml:space="preserve">характеристики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18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</w:t>
            </w:r>
            <w:r>
              <w:rPr>
                <w:sz w:val="22"/>
                <w:szCs w:val="22"/>
              </w:rPr>
              <w:br/>
              <w:t xml:space="preserve">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характеристики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ОКЕИ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1081"/>
        <w:gridCol w:w="1757"/>
        <w:gridCol w:w="2299"/>
        <w:gridCol w:w="1036"/>
        <w:gridCol w:w="850"/>
        <w:gridCol w:w="6775"/>
      </w:tblGrid>
      <w:tr>
        <w:tblPrEx/>
        <w:trPr>
          <w:trHeight w:val="315"/>
          <w:tblHeader/>
        </w:trPr>
        <w:tc>
          <w:tcPr>
            <w:shd w:val="clear" w:color="auto" w:fill="auto"/>
            <w:tcW w:w="10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17.12.14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прочая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картон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графических целей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бумага для офисной техники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белая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формат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А4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марка бумаги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ниже 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бумаги площадью 1 </w:t>
            </w: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пачки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640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17.12.14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прочая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картон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графических целей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бумага для офисной техники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белая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формат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А3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марка бумаги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не ниже 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бумаги площадью 1 </w:t>
            </w: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пачки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48"/>
        </w:trPr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17.12.14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прочая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картон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графических целей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бумага для офисной техники цветная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листов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 пачке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625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лист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не менее 50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607"/>
        </w:trPr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бумаги площадью 1 </w:t>
            </w: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43"/>
        </w:trPr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А3</w:t>
            </w:r>
            <w:r>
              <w:rPr>
                <w:b/>
                <w:sz w:val="22"/>
                <w:szCs w:val="22"/>
                <w:highlight w:val="yellow"/>
              </w:rPr>
            </w:r>
            <w:r>
              <w:rPr>
                <w:b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374"/>
        </w:trPr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пачки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17.12.14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про</w:t>
            </w:r>
            <w:r>
              <w:rPr>
                <w:sz w:val="22"/>
                <w:szCs w:val="22"/>
              </w:rPr>
              <w:t xml:space="preserve">чая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картон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графических целей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бумага для офисной техники цветная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листов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пачке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бумаги площадью 1 </w:t>
            </w: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пачки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1800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17.12.14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прочая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картон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графических целей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бумага для полноцветной лазерной печати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бумаги площадью 1 </w:t>
            </w: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белизна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161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SRА4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листов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пачке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пачки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600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052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17.12.14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Бумага прочая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картон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графических целей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бумага для полноцветной лазерной печати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бумаги площадью 1 </w:t>
            </w: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052" w:type="dxa"/>
            <w:vMerge w:val="continue"/>
            <w:textDirection w:val="lrTb"/>
            <w:noWrap w:val="false"/>
          </w:tcPr>
          <w:p>
            <w:pPr>
              <w:spacing w:after="1" w:line="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spacing w:after="1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spacing w:after="1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белизна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161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SRА3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листов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пачке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пачки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ввода или вывода, содержащие или не содержащие </w:t>
            </w:r>
            <w:r>
              <w:rPr>
                <w:sz w:val="22"/>
                <w:szCs w:val="22"/>
              </w:rPr>
              <w:br/>
              <w:t xml:space="preserve">в одном корпусе запоминающие устройства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принтеры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формат печати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способ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подключения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Apple AirPrint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Bluetooth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Ethernet (RJ-45)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LAN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NFC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QR-код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USB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Wi-Fi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Wi-Fi Direct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  <w:lang w:val="en-US"/>
              </w:rPr>
              <w:t xml:space="preserve">артридер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печати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труйная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ублимационная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лектрографическая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цветность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</w:t>
            </w:r>
            <w:r>
              <w:rPr>
                <w:sz w:val="22"/>
                <w:szCs w:val="22"/>
              </w:rPr>
              <w:t xml:space="preserve">ветная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</w:t>
            </w:r>
            <w:r>
              <w:rPr>
                <w:sz w:val="22"/>
                <w:szCs w:val="22"/>
              </w:rPr>
              <w:t xml:space="preserve">ерно-белая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100000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ввода или вы</w:t>
            </w:r>
            <w:r>
              <w:rPr>
                <w:sz w:val="22"/>
                <w:szCs w:val="22"/>
              </w:rPr>
              <w:t xml:space="preserve">вода, содержащие или не </w:t>
            </w:r>
            <w:r>
              <w:rPr>
                <w:sz w:val="22"/>
                <w:szCs w:val="22"/>
              </w:rPr>
              <w:t xml:space="preserve">содержащие</w:t>
            </w:r>
            <w:r>
              <w:rPr>
                <w:sz w:val="22"/>
                <w:szCs w:val="22"/>
              </w:rPr>
              <w:t xml:space="preserve"> в одном корпусе запоминающие устройства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Принтеры с высокой скоростью печати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печати (струйный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лазерный)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цветность (цветной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черно-белый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А3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печати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мин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дополнительных модулей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интерфейсов (сетевой интерфейс, </w:t>
            </w:r>
            <w:r>
              <w:rPr>
                <w:sz w:val="22"/>
                <w:szCs w:val="22"/>
              </w:rPr>
              <w:t xml:space="preserve">устройства чтения карт памяти и так далее)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135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28"/>
        </w:trPr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1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7" w:type="dxa"/>
            <w:vMerge w:val="restart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ввода или вывода, содержащие или не содержащие в одном корпусе запоминающие устройства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сканеры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сканирования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нижный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ланетарный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(бесконтактный)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ланшетный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ротяжный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ротяжный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планшетный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учной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лайд-сканер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  <w:t xml:space="preserve">отоаппаратный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1" w:type="dxa"/>
            <w:vMerge w:val="continue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7" w:type="dxa"/>
            <w:vMerge w:val="continue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ввода или вывода, содержащие или не содержащие </w:t>
            </w:r>
            <w:r>
              <w:rPr>
                <w:sz w:val="22"/>
                <w:szCs w:val="22"/>
              </w:rPr>
              <w:br/>
              <w:t xml:space="preserve">в одном корпусе запоминающие устройства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многофункциональные устройства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формат печати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подключения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Apple AirPrint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Bluetooth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Ethernet (RJ-45)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LAN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NFC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QR-</w:t>
            </w:r>
            <w:r>
              <w:rPr>
                <w:sz w:val="22"/>
                <w:szCs w:val="22"/>
              </w:rPr>
              <w:t xml:space="preserve">код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USB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Wi-Fi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Wi-Fi Direct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артридер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печати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труйная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лектрографическая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цветность печати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</w:t>
            </w:r>
            <w:r>
              <w:rPr>
                <w:sz w:val="22"/>
                <w:szCs w:val="22"/>
              </w:rPr>
              <w:t xml:space="preserve">ветная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</w:t>
            </w:r>
            <w:r>
              <w:rPr>
                <w:sz w:val="22"/>
                <w:szCs w:val="22"/>
              </w:rPr>
              <w:t xml:space="preserve">ерно-белая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36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/>
            <w:hyperlink r:id="rId18" w:tooltip="consultantplus://offline/ref=50D6EE33058AD4EDB171703463366D03D52931A901B8C0D4D7F23FF6C80040784677A4BE72C38F62F8872EA80FCB053C3E4ACC5746066BD1aDV8E" w:history="1">
              <w:r>
                <w:rPr>
                  <w:sz w:val="22"/>
                  <w:szCs w:val="22"/>
                </w:rPr>
                <w:t xml:space="preserve">383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775" w:type="dxa"/>
            <w:textDirection w:val="lrTb"/>
            <w:noWrap w:val="false"/>
          </w:tcPr>
          <w:p>
            <w:pPr>
              <w:pStyle w:val="9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200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ввода или вывода, содержащие или не содержащие </w:t>
            </w:r>
            <w:r>
              <w:rPr>
                <w:sz w:val="22"/>
                <w:szCs w:val="22"/>
              </w:rPr>
              <w:br/>
              <w:t xml:space="preserve">в одном корпусе запоминающие устройства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многофункциональные устройства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высоким разрешением сканирования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печати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струйная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электрографическая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сканирования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200 х 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200 точек на дюйм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цветность (цветной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черно-белый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А3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печати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ист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сканирования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ист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дополнительных модулей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интерфейсов (сетевой интерфейс, устройства чтения карт памяти и так далее)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0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86.21.10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5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в области общей врачебной практики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Пояснение: диспансеризация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29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цена диспансеризации одного муниципального служащего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7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</w:tbl>
    <w:p>
      <w:pPr>
        <w:pStyle w:val="1030"/>
        <w:ind w:firstLine="540"/>
        <w:jc w:val="both"/>
        <w:spacing w:before="168" w:beforeAutospacing="0" w:after="0" w:afterAutospacing="0" w:line="288" w:lineRule="atLeast"/>
        <w:rPr>
          <w:highlight w:val="none"/>
        </w:rPr>
      </w:pPr>
      <w:r>
        <w:rPr>
          <w:highlight w:val="none"/>
        </w:rPr>
        <w:t xml:space="preserve">&lt;*</w:t>
      </w:r>
      <w:r>
        <w:rPr>
          <w:highlight w:val="none"/>
        </w:rPr>
        <w:t xml:space="preserve">&gt; При составлении ведомственного перечня указывается «двигатель внутреннего сгорания», или «энергетическая установка гибридного транспортного средства», или «электродвигатель». </w:t>
      </w:r>
      <w:r>
        <w:rPr>
          <w:highlight w:val="none"/>
        </w:rPr>
      </w:r>
      <w:r>
        <w:rPr>
          <w:highlight w:val="none"/>
        </w:rPr>
      </w:r>
    </w:p>
    <w:p>
      <w:pPr>
        <w:pStyle w:val="1030"/>
        <w:ind w:firstLine="540"/>
        <w:jc w:val="both"/>
        <w:spacing w:before="168" w:beforeAutospacing="0" w:after="0" w:afterAutospacing="0" w:line="288" w:lineRule="atLeast"/>
        <w:rPr>
          <w:highlight w:val="none"/>
        </w:rPr>
      </w:pPr>
      <w:r>
        <w:rPr>
          <w:highlight w:val="none"/>
        </w:rPr>
        <w:t xml:space="preserve">&lt;</w:t>
      </w:r>
      <w:r>
        <w:rPr>
          <w:highlight w:val="none"/>
        </w:rPr>
        <w:t xml:space="preserve">**</w:t>
      </w:r>
      <w:r>
        <w:rPr>
          <w:highlight w:val="none"/>
        </w:rPr>
        <w:t xml:space="preserve">&gt; При составлении ведомственного перечня указывается «бензин», или «сжиженный природный газ», или «компримированный природный газ»</w:t>
      </w:r>
      <w:r>
        <w:rPr>
          <w:highlight w:val="none"/>
        </w:rPr>
        <w:t xml:space="preserve">, или «дизельное топливо», или «смешанное топливо (дизельное топливо, компримированный природный газ или сжиженный природный газ)». Не указывается в случае указания «электродвигатель» в качестве значения характеристики «Тип двигателя (силовой установки)».</w:t>
      </w:r>
      <w:r>
        <w:rPr>
          <w:highlight w:val="none"/>
        </w:rPr>
        <w:t xml:space="preserve">   </w:t>
      </w:r>
      <w:r>
        <w:rPr>
          <w:highlight w:val="none"/>
        </w:rPr>
      </w:r>
      <w:r>
        <w:rPr>
          <w:highlight w:val="none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9"/>
        <w:ind w:left="9639"/>
        <w:spacing w:line="240" w:lineRule="exac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sectPr>
      <w:headerReference w:type="default" r:id="rId10"/>
      <w:headerReference w:type="even" r:id="rId11"/>
      <w:footerReference w:type="default" r:id="rId13"/>
      <w:footnotePr/>
      <w:endnotePr/>
      <w:type w:val="nextPage"/>
      <w:pgSz w:w="16840" w:h="11907" w:orient="landscape"/>
      <w:pgMar w:top="1134" w:right="567" w:bottom="1134" w:left="1418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lang w:val="en-US"/>
      </w:rPr>
    </w:pPr>
    <w:r>
      <w:rPr>
        <w:lang w:val="en-US"/>
      </w:rPr>
      <w:t xml:space="preserve"> </w:t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Style w:val="933"/>
      </w:rPr>
      <w:framePr w:wrap="around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93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Style w:val="933"/>
        <w:sz w:val="28"/>
        <w:szCs w:val="28"/>
      </w:rPr>
      <w:framePr w:wrap="around" w:vAnchor="text" w:hAnchor="margin" w:xAlign="center" w:y="1"/>
    </w:pPr>
    <w:r>
      <w:rPr>
        <w:rStyle w:val="933"/>
        <w:sz w:val="28"/>
        <w:szCs w:val="28"/>
      </w:rPr>
      <w:fldChar w:fldCharType="begin"/>
    </w:r>
    <w:r>
      <w:rPr>
        <w:rStyle w:val="933"/>
        <w:sz w:val="28"/>
        <w:szCs w:val="28"/>
      </w:rPr>
      <w:instrText xml:space="preserve">PAGE  </w:instrText>
    </w:r>
    <w:r>
      <w:rPr>
        <w:rStyle w:val="933"/>
        <w:sz w:val="28"/>
        <w:szCs w:val="28"/>
      </w:rPr>
      <w:fldChar w:fldCharType="separate"/>
    </w:r>
    <w:r>
      <w:rPr>
        <w:rStyle w:val="933"/>
        <w:sz w:val="28"/>
        <w:szCs w:val="28"/>
      </w:rPr>
      <w:t xml:space="preserve">12</w:t>
    </w:r>
    <w:r>
      <w:rPr>
        <w:rStyle w:val="933"/>
        <w:sz w:val="28"/>
        <w:szCs w:val="28"/>
      </w:rPr>
      <w:fldChar w:fldCharType="end"/>
    </w:r>
    <w:r>
      <w:rPr>
        <w:rStyle w:val="933"/>
        <w:sz w:val="28"/>
        <w:szCs w:val="28"/>
      </w:rPr>
    </w:r>
    <w:r>
      <w:rPr>
        <w:rStyle w:val="933"/>
        <w:sz w:val="28"/>
        <w:szCs w:val="28"/>
      </w:rPr>
    </w:r>
  </w:p>
  <w:p>
    <w:pPr>
      <w:pStyle w:val="93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Style w:val="933"/>
      </w:rPr>
      <w:framePr w:wrap="around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93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26"/>
    <w:link w:val="924"/>
    <w:uiPriority w:val="9"/>
    <w:rPr>
      <w:rFonts w:ascii="Arial" w:hAnsi="Arial" w:eastAsia="Arial" w:cs="Arial"/>
      <w:sz w:val="40"/>
      <w:szCs w:val="40"/>
    </w:rPr>
  </w:style>
  <w:style w:type="character" w:styleId="755">
    <w:name w:val="Heading 2 Char"/>
    <w:basedOn w:val="926"/>
    <w:link w:val="925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23"/>
    <w:next w:val="923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basedOn w:val="926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23"/>
    <w:next w:val="923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basedOn w:val="926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23"/>
    <w:next w:val="923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basedOn w:val="926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23"/>
    <w:next w:val="923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basedOn w:val="92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23"/>
    <w:next w:val="923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basedOn w:val="926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23"/>
    <w:next w:val="923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basedOn w:val="926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23"/>
    <w:next w:val="923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basedOn w:val="926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basedOn w:val="923"/>
    <w:next w:val="923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basedOn w:val="926"/>
    <w:link w:val="770"/>
    <w:uiPriority w:val="10"/>
    <w:rPr>
      <w:sz w:val="48"/>
      <w:szCs w:val="48"/>
    </w:rPr>
  </w:style>
  <w:style w:type="paragraph" w:styleId="772">
    <w:name w:val="Subtitle"/>
    <w:basedOn w:val="923"/>
    <w:next w:val="923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basedOn w:val="926"/>
    <w:link w:val="772"/>
    <w:uiPriority w:val="11"/>
    <w:rPr>
      <w:sz w:val="24"/>
      <w:szCs w:val="24"/>
    </w:rPr>
  </w:style>
  <w:style w:type="paragraph" w:styleId="774">
    <w:name w:val="Quote"/>
    <w:basedOn w:val="923"/>
    <w:next w:val="923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3"/>
    <w:next w:val="923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character" w:styleId="778">
    <w:name w:val="Header Char"/>
    <w:basedOn w:val="926"/>
    <w:link w:val="934"/>
    <w:uiPriority w:val="99"/>
  </w:style>
  <w:style w:type="character" w:styleId="779">
    <w:name w:val="Footer Char"/>
    <w:basedOn w:val="926"/>
    <w:link w:val="932"/>
    <w:uiPriority w:val="99"/>
  </w:style>
  <w:style w:type="character" w:styleId="780">
    <w:name w:val="Caption Char"/>
    <w:basedOn w:val="929"/>
    <w:link w:val="932"/>
    <w:uiPriority w:val="99"/>
  </w:style>
  <w:style w:type="table" w:styleId="781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0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1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2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3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4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5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7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8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9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0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1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2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4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5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6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7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8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9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6">
    <w:name w:val="footnote text"/>
    <w:basedOn w:val="923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>
    <w:name w:val="Footnote Text Char"/>
    <w:link w:val="906"/>
    <w:uiPriority w:val="99"/>
    <w:rPr>
      <w:sz w:val="18"/>
    </w:rPr>
  </w:style>
  <w:style w:type="character" w:styleId="908">
    <w:name w:val="footnote reference"/>
    <w:basedOn w:val="926"/>
    <w:uiPriority w:val="99"/>
    <w:unhideWhenUsed/>
    <w:rPr>
      <w:vertAlign w:val="superscript"/>
    </w:rPr>
  </w:style>
  <w:style w:type="paragraph" w:styleId="909">
    <w:name w:val="endnote text"/>
    <w:basedOn w:val="923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>
    <w:name w:val="Endnote Text Char"/>
    <w:link w:val="909"/>
    <w:uiPriority w:val="99"/>
    <w:rPr>
      <w:sz w:val="20"/>
    </w:rPr>
  </w:style>
  <w:style w:type="character" w:styleId="911">
    <w:name w:val="endnote reference"/>
    <w:basedOn w:val="926"/>
    <w:uiPriority w:val="99"/>
    <w:semiHidden/>
    <w:unhideWhenUsed/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next w:val="923"/>
    <w:qFormat/>
    <w:pPr>
      <w:ind w:right="-1" w:firstLine="709"/>
      <w:jc w:val="both"/>
      <w:keepNext/>
      <w:outlineLvl w:val="0"/>
    </w:pPr>
    <w:rPr>
      <w:sz w:val="24"/>
    </w:rPr>
  </w:style>
  <w:style w:type="paragraph" w:styleId="925">
    <w:name w:val="Heading 2"/>
    <w:basedOn w:val="923"/>
    <w:next w:val="923"/>
    <w:qFormat/>
    <w:pPr>
      <w:ind w:right="-1"/>
      <w:jc w:val="both"/>
      <w:keepNext/>
      <w:outlineLvl w:val="1"/>
    </w:pPr>
    <w:rPr>
      <w:sz w:val="24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paragraph" w:styleId="929">
    <w:name w:val="Caption"/>
    <w:basedOn w:val="923"/>
    <w:next w:val="923"/>
    <w:link w:val="7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0">
    <w:name w:val="Body Text"/>
    <w:basedOn w:val="923"/>
    <w:link w:val="958"/>
    <w:pPr>
      <w:ind w:right="3117"/>
    </w:pPr>
    <w:rPr>
      <w:rFonts w:ascii="Courier New" w:hAnsi="Courier New"/>
      <w:sz w:val="26"/>
    </w:rPr>
  </w:style>
  <w:style w:type="paragraph" w:styleId="931">
    <w:name w:val="Body Text Indent"/>
    <w:basedOn w:val="923"/>
    <w:pPr>
      <w:ind w:right="-1"/>
      <w:jc w:val="both"/>
    </w:pPr>
    <w:rPr>
      <w:sz w:val="26"/>
    </w:rPr>
  </w:style>
  <w:style w:type="paragraph" w:styleId="932">
    <w:name w:val="Footer"/>
    <w:basedOn w:val="923"/>
    <w:link w:val="1017"/>
    <w:pPr>
      <w:tabs>
        <w:tab w:val="center" w:pos="4153" w:leader="none"/>
        <w:tab w:val="right" w:pos="8306" w:leader="none"/>
      </w:tabs>
    </w:pPr>
  </w:style>
  <w:style w:type="character" w:styleId="933">
    <w:name w:val="page number"/>
    <w:basedOn w:val="926"/>
  </w:style>
  <w:style w:type="paragraph" w:styleId="934">
    <w:name w:val="Header"/>
    <w:basedOn w:val="923"/>
    <w:link w:val="937"/>
    <w:pPr>
      <w:tabs>
        <w:tab w:val="center" w:pos="4153" w:leader="none"/>
        <w:tab w:val="right" w:pos="8306" w:leader="none"/>
      </w:tabs>
    </w:pPr>
  </w:style>
  <w:style w:type="paragraph" w:styleId="935">
    <w:name w:val="Balloon Text"/>
    <w:basedOn w:val="923"/>
    <w:link w:val="936"/>
    <w:rPr>
      <w:rFonts w:ascii="Segoe UI" w:hAnsi="Segoe UI" w:cs="Segoe UI"/>
      <w:sz w:val="18"/>
      <w:szCs w:val="18"/>
    </w:rPr>
  </w:style>
  <w:style w:type="character" w:styleId="936" w:customStyle="1">
    <w:name w:val="Текст выноски Знак"/>
    <w:link w:val="935"/>
    <w:rPr>
      <w:rFonts w:ascii="Segoe UI" w:hAnsi="Segoe UI" w:cs="Segoe UI"/>
      <w:sz w:val="18"/>
      <w:szCs w:val="18"/>
    </w:rPr>
  </w:style>
  <w:style w:type="character" w:styleId="937" w:customStyle="1">
    <w:name w:val="Верхний колонтитул Знак"/>
    <w:link w:val="934"/>
  </w:style>
  <w:style w:type="numbering" w:styleId="938" w:customStyle="1">
    <w:name w:val="Нет списка1"/>
    <w:next w:val="928"/>
    <w:uiPriority w:val="99"/>
    <w:semiHidden/>
    <w:unhideWhenUsed/>
  </w:style>
  <w:style w:type="paragraph" w:styleId="93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0">
    <w:name w:val="Hyperlink"/>
    <w:uiPriority w:val="99"/>
    <w:unhideWhenUsed/>
    <w:rPr>
      <w:color w:val="0000ff"/>
      <w:u w:val="single"/>
    </w:rPr>
  </w:style>
  <w:style w:type="character" w:styleId="941">
    <w:name w:val="FollowedHyperlink"/>
    <w:uiPriority w:val="99"/>
    <w:unhideWhenUsed/>
    <w:rPr>
      <w:color w:val="800080"/>
      <w:u w:val="single"/>
    </w:rPr>
  </w:style>
  <w:style w:type="paragraph" w:styleId="942" w:customStyle="1">
    <w:name w:val="xl65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66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67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68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6" w:customStyle="1">
    <w:name w:val="xl69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0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8" w:customStyle="1">
    <w:name w:val="xl71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2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3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4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5"/>
    <w:basedOn w:val="9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6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7"/>
    <w:basedOn w:val="92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8"/>
    <w:basedOn w:val="9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9"/>
    <w:basedOn w:val="9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Форма"/>
    <w:rPr>
      <w:sz w:val="28"/>
      <w:szCs w:val="28"/>
    </w:rPr>
  </w:style>
  <w:style w:type="character" w:styleId="958" w:customStyle="1">
    <w:name w:val="Основной текст Знак"/>
    <w:link w:val="930"/>
    <w:rPr>
      <w:rFonts w:ascii="Courier New" w:hAnsi="Courier New"/>
      <w:sz w:val="26"/>
    </w:rPr>
  </w:style>
  <w:style w:type="paragraph" w:styleId="959" w:customStyle="1">
    <w:name w:val="ConsPlusNormal"/>
    <w:rPr>
      <w:sz w:val="28"/>
      <w:szCs w:val="28"/>
    </w:rPr>
  </w:style>
  <w:style w:type="numbering" w:styleId="960" w:customStyle="1">
    <w:name w:val="Нет списка11"/>
    <w:next w:val="928"/>
    <w:uiPriority w:val="99"/>
    <w:semiHidden/>
    <w:unhideWhenUsed/>
  </w:style>
  <w:style w:type="numbering" w:styleId="961" w:customStyle="1">
    <w:name w:val="Нет списка111"/>
    <w:next w:val="928"/>
    <w:uiPriority w:val="99"/>
    <w:semiHidden/>
    <w:unhideWhenUsed/>
  </w:style>
  <w:style w:type="paragraph" w:styleId="962" w:customStyle="1">
    <w:name w:val="font5"/>
    <w:basedOn w:val="92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3" w:customStyle="1">
    <w:name w:val="xl80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4" w:customStyle="1">
    <w:name w:val="xl81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5" w:customStyle="1">
    <w:name w:val="xl82"/>
    <w:basedOn w:val="92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6">
    <w:name w:val="Table Grid"/>
    <w:basedOn w:val="92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7" w:customStyle="1">
    <w:name w:val="xl83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4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5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6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7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 w:customStyle="1">
    <w:name w:val="xl88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3" w:customStyle="1">
    <w:name w:val="xl89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0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1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2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7" w:customStyle="1">
    <w:name w:val="xl93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4"/>
    <w:basedOn w:val="9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5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6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7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8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3" w:customStyle="1">
    <w:name w:val="xl99"/>
    <w:basedOn w:val="92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100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1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2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3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4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5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6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7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8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9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0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1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2"/>
    <w:basedOn w:val="92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7" w:customStyle="1">
    <w:name w:val="xl113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4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5"/>
    <w:basedOn w:val="9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0" w:customStyle="1">
    <w:name w:val="xl116"/>
    <w:basedOn w:val="92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7"/>
    <w:basedOn w:val="92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8"/>
    <w:basedOn w:val="9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9"/>
    <w:basedOn w:val="92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20"/>
    <w:basedOn w:val="9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5" w:customStyle="1">
    <w:name w:val="xl121"/>
    <w:basedOn w:val="9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2"/>
    <w:basedOn w:val="9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23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4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5"/>
    <w:basedOn w:val="9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0" w:customStyle="1">
    <w:name w:val="Нет списка2"/>
    <w:next w:val="928"/>
    <w:uiPriority w:val="99"/>
    <w:semiHidden/>
    <w:unhideWhenUsed/>
  </w:style>
  <w:style w:type="numbering" w:styleId="1011" w:customStyle="1">
    <w:name w:val="Нет списка3"/>
    <w:next w:val="928"/>
    <w:uiPriority w:val="99"/>
    <w:semiHidden/>
    <w:unhideWhenUsed/>
  </w:style>
  <w:style w:type="paragraph" w:styleId="1012" w:customStyle="1">
    <w:name w:val="font6"/>
    <w:basedOn w:val="9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3" w:customStyle="1">
    <w:name w:val="font7"/>
    <w:basedOn w:val="9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4" w:customStyle="1">
    <w:name w:val="font8"/>
    <w:basedOn w:val="9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5" w:customStyle="1">
    <w:name w:val="Нет списка4"/>
    <w:next w:val="928"/>
    <w:uiPriority w:val="99"/>
    <w:semiHidden/>
    <w:unhideWhenUsed/>
  </w:style>
  <w:style w:type="paragraph" w:styleId="1016">
    <w:name w:val="List Paragraph"/>
    <w:basedOn w:val="9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7" w:customStyle="1">
    <w:name w:val="Нижний колонтитул Знак"/>
    <w:link w:val="932"/>
  </w:style>
  <w:style w:type="paragraph" w:styleId="1018" w:customStyle="1">
    <w:name w:val="Default"/>
    <w:rPr>
      <w:rFonts w:eastAsiaTheme="minorHAnsi"/>
      <w:color w:val="000000"/>
      <w:sz w:val="24"/>
      <w:szCs w:val="24"/>
      <w:lang w:eastAsia="en-US"/>
    </w:rPr>
  </w:style>
  <w:style w:type="numbering" w:styleId="1019" w:customStyle="1">
    <w:name w:val="Нет списка5"/>
    <w:next w:val="928"/>
    <w:uiPriority w:val="99"/>
    <w:semiHidden/>
    <w:unhideWhenUsed/>
  </w:style>
  <w:style w:type="numbering" w:styleId="1020" w:customStyle="1">
    <w:name w:val="Нет списка6"/>
    <w:next w:val="928"/>
    <w:semiHidden/>
    <w:unhideWhenUsed/>
  </w:style>
  <w:style w:type="paragraph" w:styleId="1021" w:customStyle="1">
    <w:name w:val="Заголовок к тексту"/>
    <w:basedOn w:val="923"/>
    <w:next w:val="930"/>
    <w:qFormat/>
    <w:pPr>
      <w:spacing w:after="480" w:line="240" w:lineRule="exact"/>
    </w:pPr>
    <w:rPr>
      <w:b/>
      <w:sz w:val="28"/>
    </w:rPr>
  </w:style>
  <w:style w:type="paragraph" w:styleId="1022" w:customStyle="1">
    <w:name w:val="Адресат"/>
    <w:basedOn w:val="923"/>
    <w:pPr>
      <w:spacing w:line="240" w:lineRule="exact"/>
    </w:pPr>
    <w:rPr>
      <w:sz w:val="28"/>
    </w:rPr>
  </w:style>
  <w:style w:type="paragraph" w:styleId="1023" w:customStyle="1">
    <w:name w:val="Исполнитель"/>
    <w:basedOn w:val="930"/>
    <w:pPr>
      <w:ind w:right="0"/>
      <w:spacing w:after="120" w:line="240" w:lineRule="exact"/>
    </w:pPr>
    <w:rPr>
      <w:rFonts w:ascii="Times New Roman" w:hAnsi="Times New Roman"/>
      <w:sz w:val="24"/>
    </w:rPr>
  </w:style>
  <w:style w:type="paragraph" w:styleId="1024" w:customStyle="1">
    <w:name w:val="регистрационные поля"/>
    <w:basedOn w:val="923"/>
    <w:pPr>
      <w:jc w:val="center"/>
      <w:spacing w:line="240" w:lineRule="exact"/>
    </w:pPr>
    <w:rPr>
      <w:sz w:val="28"/>
      <w:lang w:val="en-US"/>
    </w:rPr>
  </w:style>
  <w:style w:type="paragraph" w:styleId="1025" w:customStyle="1">
    <w:name w:val="Регистр"/>
    <w:rPr>
      <w:sz w:val="28"/>
    </w:rPr>
  </w:style>
  <w:style w:type="paragraph" w:styleId="1026" w:customStyle="1">
    <w:name w:val="Приложение"/>
    <w:basedOn w:val="930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27" w:customStyle="1">
    <w:name w:val="Подпись на  бланке должностного лица"/>
    <w:basedOn w:val="923"/>
    <w:next w:val="930"/>
    <w:pPr>
      <w:ind w:left="7088"/>
      <w:spacing w:before="480" w:line="240" w:lineRule="exact"/>
    </w:pPr>
    <w:rPr>
      <w:sz w:val="28"/>
    </w:rPr>
  </w:style>
  <w:style w:type="paragraph" w:styleId="1028">
    <w:name w:val="Signature"/>
    <w:basedOn w:val="923"/>
    <w:next w:val="930"/>
    <w:link w:val="1029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29" w:customStyle="1">
    <w:name w:val="Подпись Знак"/>
    <w:basedOn w:val="926"/>
    <w:link w:val="1028"/>
    <w:rPr>
      <w:sz w:val="28"/>
    </w:rPr>
  </w:style>
  <w:style w:type="paragraph" w:styleId="1030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image" Target="media/media1.svg"/><Relationship Id="rId18" Type="http://schemas.openxmlformats.org/officeDocument/2006/relationships/hyperlink" Target="consultantplus://offline/ref=50D6EE33058AD4EDB171703463366D03D52931A901B8C0D4D7F23FF6C80040784677A4BE72C38F62F8872EA80FCB053C3E4ACC5746066BD1aDV8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5215-1941-44AC-8BEA-2DA62CE8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siluyanova-om</cp:lastModifiedBy>
  <cp:revision>7</cp:revision>
  <dcterms:created xsi:type="dcterms:W3CDTF">2024-08-07T08:13:00Z</dcterms:created>
  <dcterms:modified xsi:type="dcterms:W3CDTF">2025-10-29T05:40:54Z</dcterms:modified>
</cp:coreProperties>
</file>