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-428307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33.72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229" cy="109528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8" cy="1095279"/>
                          <a:chOff x="0" y="0"/>
                          <a:chExt cx="6285228" cy="109527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38" y="775827"/>
                            <a:ext cx="1539238" cy="31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8" y="775827"/>
                            <a:ext cx="1090293" cy="319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1.46pt;mso-position-vertical:absolute;width:494.90pt;height:86.24pt;mso-wrap-distance-left:9.00pt;mso-wrap-distance-top:0.00pt;mso-wrap-distance-right:9.00pt;mso-wrap-distance-bottom:0.00pt;" coordorigin="0,0" coordsize="62852,10952">
                <v:shape id="shape 2" o:spid="_x0000_s2" o:spt="202" type="#_x0000_t202" style="position:absolute;left:0;top:0;width:62852;height:10952;visibility:visible;" fillcolor="#FFFFFF" stroked="f">
                  <v:textbox inset="0,0,0,0">
                    <w:txbxContent>
                      <w:p>
                        <w:pPr>
                          <w:pStyle w:val="97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758;width:15392;height:319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758;width:10902;height:319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79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города Перми от 25.09.2018 № 632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на оказание муниципальных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услуг 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  <w:r>
        <w:rPr>
          <w:b/>
        </w:rPr>
        <w:br/>
        <w:t xml:space="preserve">по 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по неолимпийским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уплату налогов» </w:t>
      </w:r>
      <w:r>
        <w:rPr>
          <w:b/>
        </w:rPr>
      </w:r>
      <w:r>
        <w:rPr>
          <w:b/>
        </w:rPr>
      </w:r>
    </w:p>
    <w:p>
      <w:pPr>
        <w:pStyle w:val="979"/>
        <w:spacing w:line="238" w:lineRule="exact"/>
      </w:pPr>
      <w:r/>
      <w:r/>
    </w:p>
    <w:p>
      <w:pPr>
        <w:pStyle w:val="979"/>
        <w:spacing w:line="238" w:lineRule="exact"/>
      </w:pPr>
      <w:r/>
      <w:r/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4" w:tooltip="https://login.consultant.ru/link/?req=doc&amp;base=LAW&amp;n=389332&amp;dst=3601&amp;field=134&amp;date=01.10.2021" w:history="1">
        <w:r>
          <w:rPr>
            <w:sz w:val="28"/>
            <w:szCs w:val="28"/>
          </w:rPr>
          <w:t xml:space="preserve"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5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25 сентября </w:t>
      </w:r>
      <w:r>
        <w:rPr>
          <w:sz w:val="28"/>
          <w:szCs w:val="28"/>
        </w:rPr>
        <w:br/>
        <w:t xml:space="preserve">2018 г. № 632 «Об утверждении Методики расчета нормативных затрат на оказание муниципальных услуг «Реализация дополнительных образовательных программ спортивной подготовки по оли</w:t>
      </w:r>
      <w:r>
        <w:rPr>
          <w:sz w:val="28"/>
          <w:szCs w:val="28"/>
        </w:rPr>
        <w:t xml:space="preserve">мпийским видам спорта», «Реализация дополнительных образовательных программ спортивной подготовки по неолимпийским видам спорта», нормативных затрат на содержание муниципального имущества, уплату налогов» (в ред. от 05.04.2019 № 70-П, от 22.11.2019 № 928, </w:t>
      </w:r>
      <w:r>
        <w:rPr>
          <w:sz w:val="28"/>
          <w:szCs w:val="28"/>
        </w:rPr>
        <w:br/>
        <w:t xml:space="preserve">от 23.04.2020 № 379, от 10.12.2020 № 1248, от 21.10.2021 № 934, от 21.12.2021 </w:t>
      </w:r>
      <w:r>
        <w:rPr>
          <w:sz w:val="28"/>
          <w:szCs w:val="28"/>
        </w:rPr>
        <w:br/>
        <w:t xml:space="preserve">№ 1167, от 07.10.2022 № 908, от 25.10.2022 № 1078, от 29.12.2022 №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19, </w:t>
      </w:r>
      <w:r>
        <w:rPr>
          <w:sz w:val="28"/>
          <w:szCs w:val="28"/>
        </w:rPr>
        <w:br/>
        <w:t xml:space="preserve">от 20.09.2023 № 873, от 18.10.2023 № 1107, от 21.11.2023 № 1295, от 13.09.2024 </w:t>
      </w:r>
      <w:r>
        <w:rPr>
          <w:sz w:val="28"/>
          <w:szCs w:val="28"/>
        </w:rPr>
        <w:br/>
        <w:t xml:space="preserve">№ 761, от 18.12.2024 № 1250, от 28.12.2024 № 1324, от 18.02.2025 № 78)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«Реализация дополнительных </w:t>
      </w:r>
      <w:r>
        <w:rPr>
          <w:sz w:val="28"/>
          <w:szCs w:val="28"/>
        </w:rPr>
        <w:t xml:space="preserve">образовательных программ спортивной подготовки по неолимпийским видам спорта»,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 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</w:t>
      </w:r>
      <w:r>
        <w:rPr>
          <w:sz w:val="28"/>
          <w:szCs w:val="28"/>
        </w:rPr>
        <w:t xml:space="preserve">та», «Реализация дополнительных образовательных программ спортивной подготовки по неолимпийским видам спорта», нормативных затрат на содержание муниципального имущества, уплату налогов, утвержденную постановлением администрации города Перми от 25 сентября </w:t>
      </w:r>
      <w:r>
        <w:rPr>
          <w:sz w:val="28"/>
          <w:szCs w:val="28"/>
        </w:rPr>
        <w:br/>
        <w:t xml:space="preserve">2018 г. № 632 (в ред. от 05.04.2019 № 70-П, от 22.11.2019 № 928, от 23.04.2020 </w:t>
      </w:r>
      <w:r>
        <w:rPr>
          <w:sz w:val="28"/>
          <w:szCs w:val="28"/>
        </w:rPr>
        <w:br/>
        <w:t xml:space="preserve">№ 379, от 10.12.2020 № 1248, от 21.10.2021 № 934, от 21.12.2021 № 1167, </w:t>
      </w:r>
      <w:r>
        <w:rPr>
          <w:sz w:val="28"/>
          <w:szCs w:val="28"/>
        </w:rPr>
        <w:br/>
        <w:t xml:space="preserve">от 07.10.2022 № 908, от 25.10.2022 № 1078, от 29.12.2022 № 1</w:t>
      </w:r>
      <w:r>
        <w:rPr>
          <w:sz w:val="28"/>
          <w:szCs w:val="28"/>
        </w:rPr>
        <w:t xml:space="preserve">4</w:t>
      </w:r>
      <w:bookmarkStart w:id="1" w:name="_GoBack"/>
      <w:r/>
      <w:bookmarkEnd w:id="1"/>
      <w:r>
        <w:rPr>
          <w:sz w:val="28"/>
          <w:szCs w:val="28"/>
        </w:rPr>
        <w:t xml:space="preserve">19, от 20.09.2023 </w:t>
      </w:r>
      <w:r>
        <w:rPr>
          <w:sz w:val="28"/>
          <w:szCs w:val="28"/>
        </w:rPr>
        <w:br/>
        <w:t xml:space="preserve">№ 873, от 18.10.2023 № 1107, от 21.11.2023 № 1295, от 13.09.2024 № 761, </w:t>
      </w:r>
      <w:r>
        <w:rPr>
          <w:sz w:val="28"/>
          <w:szCs w:val="28"/>
        </w:rPr>
        <w:br/>
        <w:t xml:space="preserve">от 18.12.2024 № 1250, от 28.12.2024 № 1324, от 18.02.2025 № 78),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«Методика расчета нормативных затрат на оказание муниципальных услуг «Реализация д</w:t>
      </w:r>
      <w:r>
        <w:rPr>
          <w:sz w:val="28"/>
          <w:szCs w:val="28"/>
        </w:rPr>
        <w:t xml:space="preserve">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по неолимпийским видам спорта»,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1.2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наименовании раздела 3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в абзаце первом слова «, затрат на уплату налогов, в качестве объекта налогообложения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абзаце третьем слова «+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ун»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пункте 4.1 слова «01 июня 2021» заменить словами «01 июля 2025»;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абзац второй пункта 4.3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Метод наиболее эффективного учреждения основывается на показателях анализа деятельности муниципального </w:t>
      </w:r>
      <w:r>
        <w:rPr>
          <w:sz w:val="28"/>
          <w:szCs w:val="28"/>
        </w:rPr>
        <w:t xml:space="preserve">автономного</w:t>
      </w:r>
      <w:r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по каратэ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г.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Учреждение).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абзаце третьем пункта 4.3 цифры «449» заменить цифрами «560»;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4.5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Отраслевые корректирующие коэффициенты рассчитываются к составляющей базового норматива затрат на оказание муниципальной услуги ко всем видам услуг, установленных муниципальным заданием, и учитывают: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простого оборудования, спортивного инвентаря, экипировки</w:t>
      </w:r>
      <w:r>
        <w:rPr>
          <w:sz w:val="28"/>
          <w:szCs w:val="28"/>
        </w:rPr>
        <w:t xml:space="preserve"> с учетом вида спорта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сложного дорогостоящего оборудования, спортивного инвентаря, экипировки</w:t>
      </w:r>
      <w:r>
        <w:rPr>
          <w:sz w:val="28"/>
          <w:szCs w:val="28"/>
        </w:rPr>
        <w:t xml:space="preserve"> с учетом вида спорта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здания бассейна </w:t>
      </w:r>
      <w:r>
        <w:rPr>
          <w:sz w:val="28"/>
          <w:szCs w:val="28"/>
        </w:rPr>
        <w:br/>
        <w:t xml:space="preserve">до 2 000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здания бассейна свыше </w:t>
      </w:r>
      <w:r>
        <w:rPr>
          <w:sz w:val="28"/>
          <w:szCs w:val="28"/>
        </w:rPr>
        <w:br/>
        <w:t xml:space="preserve">2 000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здания с ледовой ареной более 10 000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здания с ледовой ареной менее 10 000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стадион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на территории которого находятся здания площадью более 6 000 кв. м и здание с ледовой ареной,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стадион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на территории которого находятся здания общей площадью более 1 000 кв. м, и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более 50 000 кв. м,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</w:t>
      </w:r>
      <w:r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трамплинов, лыжн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баз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и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более 50 000 кв. м,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лыжн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баз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и земельный участок более 50 000 кв. м,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стадион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на территории которого находятся здания общей площадью менее 1 000 кв. м, и комплекс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зданий площадью более 4 000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здания легкоатлетического манежа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до 2 000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до 2 500 кв. м без учета вида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свыше 2 500 кв. м без учета вида спорта;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от 501 кв. м до 1 000 кв. м без учета вида спорта;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до 500 кв. м без учета вида спорта;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составе имущественного комплекса спортивных сооружений площадью свыше 1 000 кв. м без учета вида спорта;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имущественного комплекса.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Отраслевой корректирующий коэффициент определяется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  <w:vertAlign w:val="subscript"/>
        </w:rPr>
        <w:t xml:space="preserve">отр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отр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баз</w:t>
      </w:r>
      <w:r>
        <w:rPr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отр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затраты</w:t>
      </w:r>
      <w:r>
        <w:rPr>
          <w:sz w:val="28"/>
          <w:szCs w:val="28"/>
        </w:rPr>
        <w:t xml:space="preserve">, необходимые для оказания муниципальной услуги, рассчитанные исходя из показателей отраслевой специфики;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баз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норматив затрат на оказание муниципальной услуги.»;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в абзаце втором пункта 4.9.1 слова «х ИПЦ»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 пункте 4.9.3: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из</w:t>
      </w:r>
      <w:r>
        <w:rPr>
          <w:sz w:val="28"/>
          <w:szCs w:val="28"/>
        </w:rPr>
        <w:t xml:space="preserve"> = ∑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из </w:t>
      </w:r>
      <w:r>
        <w:rPr>
          <w:sz w:val="28"/>
          <w:szCs w:val="28"/>
        </w:rPr>
        <w:t xml:space="preserve">х ИПЦ, где»;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 абзац третий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«n</w:t>
      </w:r>
      <w:r>
        <w:rPr>
          <w:sz w:val="28"/>
          <w:szCs w:val="28"/>
          <w:vertAlign w:val="subscript"/>
        </w:rPr>
        <w:t xml:space="preserve">из </w:t>
      </w:r>
      <w:r>
        <w:rPr>
          <w:sz w:val="28"/>
          <w:szCs w:val="28"/>
        </w:rPr>
        <w:t xml:space="preserve">– затраты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каждого отдельного вида иных затрат.»;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.3. абзац четвертый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.4. абзац шестой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.5. 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«затраты на проживание участников соревнований и сопровождающих лиц, за исключением этапа начальной подготовки;»;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после пункта 4.9.3 дополнить пунктом </w:t>
      </w:r>
      <w:r>
        <w:rPr>
          <w:sz w:val="28"/>
          <w:szCs w:val="28"/>
        </w:rPr>
        <w:t xml:space="preserve">4.9.3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  <w:vertAlign w:val="baseline"/>
        </w:rP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«4.9.3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  <w:vertAlign w:val="baseline"/>
        </w:rPr>
        <w:t xml:space="preserve">.</w:t>
      </w:r>
      <w:r>
        <w:rPr>
          <w:sz w:val="28"/>
          <w:szCs w:val="28"/>
          <w:vertAlign w:val="baseline"/>
        </w:rPr>
        <w:t xml:space="preserve"> </w:t>
      </w:r>
      <w:r>
        <w:rPr>
          <w:sz w:val="28"/>
          <w:szCs w:val="28"/>
        </w:rPr>
        <w:t xml:space="preserve">Затраты на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проживание участников соревнований и сопровождающих лиц, за исключением этапа начальной подготовки (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сор</w:t>
      </w:r>
      <w:r>
        <w:rPr>
          <w:sz w:val="28"/>
          <w:szCs w:val="28"/>
        </w:rPr>
        <w:t xml:space="preserve">), рассчитываются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</w:t>
      </w:r>
      <w:r>
        <w:rPr>
          <w:sz w:val="28"/>
          <w:szCs w:val="28"/>
          <w:vertAlign w:val="subscript"/>
        </w:rPr>
        <w:t xml:space="preserve">сор </w:t>
      </w:r>
      <w:r>
        <w:rPr>
          <w:sz w:val="28"/>
          <w:szCs w:val="28"/>
        </w:rPr>
        <w:t xml:space="preserve">= ∑К</w:t>
      </w:r>
      <w:r>
        <w:rPr>
          <w:sz w:val="28"/>
          <w:szCs w:val="28"/>
          <w:vertAlign w:val="subscript"/>
        </w:rPr>
        <w:t xml:space="preserve">сор </w:t>
      </w:r>
      <w:r>
        <w:rPr>
          <w:sz w:val="28"/>
          <w:szCs w:val="28"/>
        </w:rPr>
        <w:t xml:space="preserve">х 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  <w:vertAlign w:val="subscript"/>
        </w:rPr>
        <w:t xml:space="preserve">сор</w:t>
      </w:r>
      <w:r>
        <w:rPr>
          <w:sz w:val="28"/>
          <w:szCs w:val="28"/>
        </w:rPr>
        <w:t xml:space="preserve"> х ИПЦ,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  <w:vertAlign w:val="subscript"/>
        </w:rPr>
        <w:t xml:space="preserve">сор</w:t>
      </w:r>
      <w:r>
        <w:rPr>
          <w:sz w:val="28"/>
          <w:szCs w:val="28"/>
        </w:rPr>
        <w:t xml:space="preserve"> – количество суток проживания в отеле, гостинице или ином жилом помещении;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</w:t>
      </w:r>
      <w:r>
        <w:rPr>
          <w:sz w:val="28"/>
          <w:szCs w:val="28"/>
          <w:vertAlign w:val="subscript"/>
        </w:rPr>
        <w:t xml:space="preserve">сор</w:t>
      </w:r>
      <w:r>
        <w:rPr>
          <w:sz w:val="28"/>
          <w:szCs w:val="28"/>
        </w:rPr>
        <w:t xml:space="preserve"> – стоимость суток на проживание в стандартном номере отеля, гостиницы или ином жилом помещении.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расходов на проживание участников соревнований и сопровождающих лиц определяется в соответствии с положениями пункта 4.1 настоящей Методики.»;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пункте 4.9.4: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после абзаца девятого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«плата за негативное воздействие на работу централизованной системы водоотведения;»;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в абзаце десятом цифры «2019»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пункте 4.9.5: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«обслуживание внутренних систем теплоснабжения и водоотведения;»;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абзац восьмой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«техническое обслуживание и ремонт электросетей и электрооборудования;»;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абзац девятый </w:t>
      </w:r>
      <w:r>
        <w:rPr>
          <w:sz w:val="28"/>
          <w:szCs w:val="28"/>
        </w:rPr>
        <w:t xml:space="preserve">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.4. после абзаца десятого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«вывоз твердых коммунальных отходов.»;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абзац восьмой пункта 4.9.6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в пункте 4.10.1: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абзац десятый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«плата за негативное воздействие на работу централизованной системы во-доотведения;»;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в абзаце одиннадцатом цифры «2019»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 пункте 4.10.2: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«обслуживание внутренних систем теплоснабжения и водоотведения;»;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абзац восьмой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«техническое обслуживание и ремонт электросетей и электрооборудования;»;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 абзац девятый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«уборка помещений;»;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.4. после абзаца десятого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«вывоз твердых коммунальных отходов.»;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абзац восьмой пункта 4.10.3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4.10.6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«4.10.6. Затраты на прочие общехозяйственные нужды включают расходы, связанные с приобретением материальных запасов (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пмз</w:t>
      </w:r>
      <w:r>
        <w:rPr>
          <w:sz w:val="28"/>
          <w:szCs w:val="28"/>
        </w:rPr>
        <w:t xml:space="preserve">) и не отнесенные к нормативным затратам, непосредственно связанным с оказанием муниципальной услуги, определяются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пмз</w:t>
      </w:r>
      <w:r>
        <w:rPr>
          <w:sz w:val="28"/>
          <w:szCs w:val="28"/>
        </w:rPr>
        <w:t xml:space="preserve"> = ∑(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мз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  <w:vertAlign w:val="subscript"/>
        </w:rPr>
        <w:t xml:space="preserve">мз</w:t>
      </w:r>
      <w:r>
        <w:rPr>
          <w:sz w:val="28"/>
          <w:szCs w:val="28"/>
        </w:rPr>
        <w:t xml:space="preserve">) х ИПЦ,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  <w:vertAlign w:val="subscript"/>
        </w:rPr>
        <w:t xml:space="preserve">мз </w:t>
      </w:r>
      <w:r>
        <w:rPr>
          <w:sz w:val="28"/>
          <w:szCs w:val="28"/>
        </w:rPr>
        <w:t xml:space="preserve">– значение натуральной нормы потребления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-го вида материальных запасов;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</w:t>
      </w:r>
      <w:r>
        <w:rPr>
          <w:sz w:val="28"/>
          <w:szCs w:val="28"/>
          <w:vertAlign w:val="subscript"/>
        </w:rPr>
        <w:t xml:space="preserve">мз </w:t>
      </w:r>
      <w:r>
        <w:rPr>
          <w:sz w:val="28"/>
          <w:szCs w:val="28"/>
        </w:rPr>
        <w:t xml:space="preserve">– стоимость (цена, тариф)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-го материальных запасов.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затрат на приобретение материальных запасов учитываются расходы на приобретение канцелярских товаров.»;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 в абзаце первом пункта 5.1.2 цифры «2019»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раздел 6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</w:t>
      </w:r>
      <w:r>
        <w:rPr>
          <w:sz w:val="28"/>
          <w:szCs w:val="28"/>
        </w:rPr>
        <w:t xml:space="preserve"> бюллетень органов местного самоуправления муниципального образования город Пермь» и применяется при расчете объема финансового обеспечения выполнения муниципального задания, начиная с муниципального задания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  <w:p>
    <w:pPr>
      <w:pStyle w:val="9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6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5" w:default="1">
    <w:name w:val="Normal"/>
    <w:qFormat/>
    <w:rPr>
      <w:lang w:eastAsia="ru-RU"/>
    </w:rPr>
  </w:style>
  <w:style w:type="paragraph" w:styleId="736">
    <w:name w:val="Heading 1"/>
    <w:basedOn w:val="735"/>
    <w:next w:val="735"/>
    <w:qFormat/>
    <w:pPr>
      <w:ind w:right="-1" w:firstLine="709"/>
      <w:jc w:val="both"/>
      <w:keepNext/>
      <w:outlineLvl w:val="0"/>
    </w:pPr>
    <w:rPr>
      <w:sz w:val="24"/>
    </w:rPr>
  </w:style>
  <w:style w:type="paragraph" w:styleId="737">
    <w:name w:val="Heading 2"/>
    <w:basedOn w:val="735"/>
    <w:next w:val="735"/>
    <w:qFormat/>
    <w:pPr>
      <w:ind w:right="-1"/>
      <w:jc w:val="both"/>
      <w:keepNext/>
      <w:outlineLvl w:val="1"/>
    </w:pPr>
    <w:rPr>
      <w:sz w:val="24"/>
    </w:rPr>
  </w:style>
  <w:style w:type="paragraph" w:styleId="738">
    <w:name w:val="Heading 3"/>
    <w:basedOn w:val="735"/>
    <w:next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table" w:styleId="748" w:customStyle="1">
    <w:name w:val="Таблица простая 1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21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3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Таблица простая 4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 простая 5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1 светлая1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-сетка 2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3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41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Таблица-сетка 5 темная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Таблица-сетка 7 цветная1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Список-таблица 1 светлая1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Список-таблица 21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Список-таблица 3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4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Список-таблица 5 темная1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Список-таблиц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6" w:customStyle="1">
    <w:name w:val="Список-таблица 7 цветная1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Таблица простая 1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21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Таблица простая 3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Таблица простая 4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 простая 5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1 светлая1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3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Таблица-сетка 5 темная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Таблица-сетк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Таблица-сетка 7 цветная1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1 светлая1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Список-таблица 21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Список-таблица 3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Список-таблица 4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Список-таблица 5 темная1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Список-таблиц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Список-таблица 7 цветная1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6" w:customStyle="1">
    <w:name w:val="Title Char"/>
    <w:basedOn w:val="745"/>
    <w:uiPriority w:val="10"/>
    <w:rPr>
      <w:sz w:val="48"/>
      <w:szCs w:val="48"/>
    </w:rPr>
  </w:style>
  <w:style w:type="character" w:styleId="787" w:customStyle="1">
    <w:name w:val="Subtitle Char"/>
    <w:basedOn w:val="745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character" w:styleId="790" w:customStyle="1">
    <w:name w:val="Footnote Text Char"/>
    <w:uiPriority w:val="99"/>
    <w:rPr>
      <w:sz w:val="18"/>
    </w:rPr>
  </w:style>
  <w:style w:type="character" w:styleId="791" w:customStyle="1">
    <w:name w:val="Endnote Text Char"/>
    <w:uiPriority w:val="99"/>
    <w:rPr>
      <w:sz w:val="20"/>
    </w:rPr>
  </w:style>
  <w:style w:type="paragraph" w:styleId="792" w:customStyle="1">
    <w:name w:val="Заголовок 11"/>
    <w:basedOn w:val="735"/>
    <w:next w:val="735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1 Char"/>
    <w:link w:val="792"/>
    <w:uiPriority w:val="9"/>
    <w:rPr>
      <w:rFonts w:ascii="Arial" w:hAnsi="Arial" w:eastAsia="Arial" w:cs="Arial"/>
      <w:sz w:val="40"/>
      <w:szCs w:val="40"/>
    </w:rPr>
  </w:style>
  <w:style w:type="paragraph" w:styleId="794" w:customStyle="1">
    <w:name w:val="Заголовок 21"/>
    <w:basedOn w:val="735"/>
    <w:next w:val="735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 w:customStyle="1">
    <w:name w:val="Heading 2 Char"/>
    <w:link w:val="794"/>
    <w:uiPriority w:val="9"/>
    <w:rPr>
      <w:rFonts w:ascii="Arial" w:hAnsi="Arial" w:eastAsia="Arial" w:cs="Arial"/>
      <w:sz w:val="34"/>
    </w:rPr>
  </w:style>
  <w:style w:type="paragraph" w:styleId="796" w:customStyle="1">
    <w:name w:val="Заголовок 31"/>
    <w:basedOn w:val="735"/>
    <w:next w:val="735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7" w:customStyle="1">
    <w:name w:val="Heading 3 Char"/>
    <w:link w:val="796"/>
    <w:uiPriority w:val="9"/>
    <w:rPr>
      <w:rFonts w:ascii="Arial" w:hAnsi="Arial" w:eastAsia="Arial" w:cs="Arial"/>
      <w:sz w:val="30"/>
      <w:szCs w:val="30"/>
    </w:rPr>
  </w:style>
  <w:style w:type="paragraph" w:styleId="798" w:customStyle="1">
    <w:name w:val="Заголовок 41"/>
    <w:basedOn w:val="735"/>
    <w:next w:val="735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4 Char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 w:customStyle="1">
    <w:name w:val="Заголовок 51"/>
    <w:basedOn w:val="735"/>
    <w:next w:val="735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5 Char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 w:customStyle="1">
    <w:name w:val="Заголовок 61"/>
    <w:basedOn w:val="735"/>
    <w:next w:val="735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6 Char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 w:customStyle="1">
    <w:name w:val="Заголовок 71"/>
    <w:basedOn w:val="735"/>
    <w:next w:val="735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7 Char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 w:customStyle="1">
    <w:name w:val="Заголовок 81"/>
    <w:basedOn w:val="735"/>
    <w:next w:val="735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8 Char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 w:customStyle="1">
    <w:name w:val="Заголовок 91"/>
    <w:basedOn w:val="735"/>
    <w:next w:val="735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Heading 9 Char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35"/>
    <w:uiPriority w:val="34"/>
    <w:qFormat/>
    <w:pPr>
      <w:contextualSpacing/>
      <w:ind w:left="720"/>
    </w:pPr>
  </w:style>
  <w:style w:type="paragraph" w:styleId="811">
    <w:name w:val="No Spacing"/>
    <w:uiPriority w:val="1"/>
    <w:qFormat/>
  </w:style>
  <w:style w:type="paragraph" w:styleId="812">
    <w:name w:val="Title"/>
    <w:basedOn w:val="735"/>
    <w:next w:val="735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 w:customStyle="1">
    <w:name w:val="Название Знак"/>
    <w:link w:val="812"/>
    <w:uiPriority w:val="10"/>
    <w:rPr>
      <w:sz w:val="48"/>
      <w:szCs w:val="48"/>
    </w:rPr>
  </w:style>
  <w:style w:type="paragraph" w:styleId="814">
    <w:name w:val="Subtitle"/>
    <w:basedOn w:val="735"/>
    <w:next w:val="735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 w:customStyle="1">
    <w:name w:val="Подзаголовок Знак"/>
    <w:link w:val="814"/>
    <w:uiPriority w:val="11"/>
    <w:rPr>
      <w:sz w:val="24"/>
      <w:szCs w:val="24"/>
    </w:rPr>
  </w:style>
  <w:style w:type="paragraph" w:styleId="816">
    <w:name w:val="Quote"/>
    <w:basedOn w:val="735"/>
    <w:next w:val="735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35"/>
    <w:next w:val="735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 w:customStyle="1">
    <w:name w:val="Верхний колонтитул1"/>
    <w:basedOn w:val="735"/>
    <w:link w:val="8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1" w:customStyle="1">
    <w:name w:val="Header Char"/>
    <w:link w:val="820"/>
    <w:uiPriority w:val="99"/>
  </w:style>
  <w:style w:type="paragraph" w:styleId="822" w:customStyle="1">
    <w:name w:val="Нижний колонтитул1"/>
    <w:basedOn w:val="735"/>
    <w:link w:val="8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3" w:customStyle="1">
    <w:name w:val="Footer Char"/>
    <w:uiPriority w:val="99"/>
  </w:style>
  <w:style w:type="paragraph" w:styleId="824" w:customStyle="1">
    <w:name w:val="Название объекта1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link w:val="822"/>
    <w:uiPriority w:val="99"/>
  </w:style>
  <w:style w:type="table" w:styleId="826">
    <w:name w:val="Table Grid"/>
    <w:basedOn w:val="746"/>
    <w:uiPriority w:val="59"/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35"/>
    <w:link w:val="954"/>
    <w:uiPriority w:val="99"/>
    <w:semiHidden/>
    <w:unhideWhenUsed/>
    <w:pPr>
      <w:spacing w:after="40"/>
    </w:pPr>
    <w:rPr>
      <w:sz w:val="18"/>
    </w:rPr>
  </w:style>
  <w:style w:type="character" w:styleId="954" w:customStyle="1">
    <w:name w:val="Текст сноски Знак"/>
    <w:link w:val="953"/>
    <w:uiPriority w:val="99"/>
    <w:rPr>
      <w:sz w:val="18"/>
    </w:rPr>
  </w:style>
  <w:style w:type="character" w:styleId="955">
    <w:name w:val="footnote reference"/>
    <w:uiPriority w:val="99"/>
    <w:unhideWhenUsed/>
    <w:rPr>
      <w:vertAlign w:val="superscript"/>
    </w:rPr>
  </w:style>
  <w:style w:type="paragraph" w:styleId="956">
    <w:name w:val="endnote text"/>
    <w:basedOn w:val="735"/>
    <w:link w:val="957"/>
    <w:uiPriority w:val="99"/>
    <w:semiHidden/>
    <w:unhideWhenUsed/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35"/>
    <w:next w:val="735"/>
    <w:uiPriority w:val="39"/>
    <w:unhideWhenUsed/>
    <w:pPr>
      <w:spacing w:after="57"/>
    </w:pPr>
  </w:style>
  <w:style w:type="paragraph" w:styleId="960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61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62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63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64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65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66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67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35"/>
    <w:next w:val="735"/>
    <w:uiPriority w:val="99"/>
    <w:unhideWhenUsed/>
  </w:style>
  <w:style w:type="paragraph" w:styleId="970">
    <w:name w:val="Caption"/>
    <w:basedOn w:val="735"/>
    <w:next w:val="735"/>
    <w:link w:val="8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71">
    <w:name w:val="Body Text"/>
    <w:basedOn w:val="735"/>
    <w:link w:val="984"/>
    <w:pPr>
      <w:ind w:right="3117"/>
    </w:pPr>
    <w:rPr>
      <w:rFonts w:ascii="Courier New" w:hAnsi="Courier New"/>
      <w:sz w:val="26"/>
      <w:lang w:val="en-US" w:eastAsia="en-US"/>
    </w:rPr>
  </w:style>
  <w:style w:type="paragraph" w:styleId="972">
    <w:name w:val="Body Text Indent"/>
    <w:basedOn w:val="735"/>
    <w:pPr>
      <w:ind w:right="-1"/>
      <w:jc w:val="both"/>
    </w:pPr>
    <w:rPr>
      <w:sz w:val="26"/>
    </w:rPr>
  </w:style>
  <w:style w:type="paragraph" w:styleId="973">
    <w:name w:val="Footer"/>
    <w:basedOn w:val="735"/>
    <w:pPr>
      <w:tabs>
        <w:tab w:val="center" w:pos="4153" w:leader="none"/>
        <w:tab w:val="right" w:pos="8306" w:leader="none"/>
      </w:tabs>
    </w:pPr>
  </w:style>
  <w:style w:type="character" w:styleId="974">
    <w:name w:val="page number"/>
    <w:basedOn w:val="745"/>
  </w:style>
  <w:style w:type="paragraph" w:styleId="975">
    <w:name w:val="Header"/>
    <w:basedOn w:val="735"/>
    <w:link w:val="978"/>
    <w:uiPriority w:val="99"/>
    <w:pPr>
      <w:tabs>
        <w:tab w:val="center" w:pos="4153" w:leader="none"/>
        <w:tab w:val="right" w:pos="8306" w:leader="none"/>
      </w:tabs>
    </w:pPr>
  </w:style>
  <w:style w:type="paragraph" w:styleId="976">
    <w:name w:val="Balloon Text"/>
    <w:basedOn w:val="735"/>
    <w:link w:val="977"/>
    <w:rPr>
      <w:rFonts w:ascii="Segoe UI" w:hAnsi="Segoe UI"/>
      <w:sz w:val="18"/>
      <w:szCs w:val="18"/>
      <w:lang w:val="en-US" w:eastAsia="en-US"/>
    </w:rPr>
  </w:style>
  <w:style w:type="character" w:styleId="977" w:customStyle="1">
    <w:name w:val="Текст выноски Знак"/>
    <w:link w:val="976"/>
    <w:rPr>
      <w:rFonts w:ascii="Segoe UI" w:hAnsi="Segoe UI" w:cs="Segoe UI"/>
      <w:sz w:val="18"/>
      <w:szCs w:val="18"/>
    </w:rPr>
  </w:style>
  <w:style w:type="character" w:styleId="978" w:customStyle="1">
    <w:name w:val="Верхний колонтитул Знак"/>
    <w:link w:val="975"/>
    <w:uiPriority w:val="99"/>
  </w:style>
  <w:style w:type="paragraph" w:styleId="979" w:customStyle="1">
    <w:name w:val="Форма"/>
    <w:rPr>
      <w:sz w:val="28"/>
      <w:szCs w:val="28"/>
      <w:lang w:eastAsia="ru-RU"/>
    </w:rPr>
  </w:style>
  <w:style w:type="paragraph" w:styleId="980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8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82">
    <w:name w:val="Subtle Emphasis"/>
    <w:uiPriority w:val="19"/>
    <w:qFormat/>
    <w:rPr>
      <w:i/>
      <w:iCs/>
      <w:color w:val="808080"/>
    </w:rPr>
  </w:style>
  <w:style w:type="numbering" w:styleId="983" w:customStyle="1">
    <w:name w:val="Нет списка1"/>
    <w:next w:val="747"/>
    <w:uiPriority w:val="99"/>
    <w:semiHidden/>
    <w:unhideWhenUsed/>
  </w:style>
  <w:style w:type="character" w:styleId="984" w:customStyle="1">
    <w:name w:val="Основной текст Знак"/>
    <w:link w:val="971"/>
    <w:rPr>
      <w:rFonts w:ascii="Courier New" w:hAnsi="Courier New"/>
      <w:sz w:val="26"/>
    </w:rPr>
  </w:style>
  <w:style w:type="paragraph" w:styleId="985">
    <w:name w:val="HTML Preformatted"/>
    <w:basedOn w:val="735"/>
    <w:link w:val="98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86" w:customStyle="1">
    <w:name w:val="Стандартный HTML Знак"/>
    <w:link w:val="985"/>
    <w:uiPriority w:val="99"/>
    <w:rPr>
      <w:rFonts w:ascii="Courier New" w:hAnsi="Courier New" w:cs="Courier New"/>
    </w:rPr>
  </w:style>
  <w:style w:type="paragraph" w:styleId="987">
    <w:name w:val="Normal (Web)"/>
    <w:basedOn w:val="73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88">
    <w:name w:val="Placeholder Text"/>
    <w:basedOn w:val="745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89332&amp;dst=3601&amp;field=134&amp;date=01.10.2021" TargetMode="External"/><Relationship Id="rId15" Type="http://schemas.openxmlformats.org/officeDocument/2006/relationships/hyperlink" Target="https://login.consultant.ru/link/?req=doc&amp;base=RLAW368&amp;n=154126&amp;dst=76&amp;field=134&amp;date=01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11</cp:revision>
  <dcterms:created xsi:type="dcterms:W3CDTF">2025-10-20T11:56:00Z</dcterms:created>
  <dcterms:modified xsi:type="dcterms:W3CDTF">2025-10-27T11:17:27Z</dcterms:modified>
  <cp:version>786432</cp:version>
</cp:coreProperties>
</file>