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28.10.2025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28.10.2025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5095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правовые акты администрации </w:t>
        <w:br/>
        <w:t xml:space="preserve">города Перми </w:t>
      </w:r>
      <w:r>
        <w:rPr>
          <w:b/>
          <w:sz w:val="28"/>
          <w:szCs w:val="28"/>
        </w:rPr>
        <w:t xml:space="preserve">в сфере </w:t>
        <w:br/>
        <w:t xml:space="preserve">финансирования работ </w:t>
      </w:r>
      <w:r>
        <w:rPr>
          <w:b/>
          <w:sz w:val="28"/>
          <w:szCs w:val="28"/>
        </w:rPr>
        <w:br/>
        <w:t xml:space="preserve">по содержанию объектов </w:t>
      </w:r>
      <w:r>
        <w:rPr>
          <w:b/>
          <w:sz w:val="28"/>
          <w:szCs w:val="28"/>
        </w:rPr>
        <w:br/>
        <w:t xml:space="preserve">благоустройства города Перми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 xml:space="preserve">кодексо</w:t>
      </w:r>
      <w:r>
        <w:rPr>
          <w:sz w:val="28"/>
          <w:szCs w:val="28"/>
        </w:rPr>
        <w:t xml:space="preserve">м Р</w:t>
      </w:r>
      <w:r>
        <w:rPr>
          <w:sz w:val="28"/>
          <w:szCs w:val="28"/>
        </w:rPr>
        <w:t xml:space="preserve">оссийской Федерации, Федеральными законами от 06 октября 2003 г. № 131-ФЗ «Об общих принципах организации местно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о самоуправления в Российской Федерации», от 20 марта 2025 г. </w:t>
        <w:br/>
        <w:t xml:space="preserve">№ 33-ФЗ 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 августа 2007 г. № 185 «Об утверж</w:t>
      </w:r>
      <w:r>
        <w:rPr>
          <w:sz w:val="28"/>
          <w:szCs w:val="28"/>
        </w:rPr>
        <w:t xml:space="preserve">дении Положения о бюджете </w:t>
        <w:br/>
        <w:t xml:space="preserve">и бюджетном процессе в городе Перми»,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Методику расчета стоимости работ (услуг) по организации ритуальных услуг и содержанию мест захоронения </w:t>
      </w:r>
      <w:r>
        <w:rPr>
          <w:sz w:val="28"/>
          <w:szCs w:val="28"/>
        </w:rPr>
        <w:t xml:space="preserve">(погребения), утвержденную постановлением администрации города Перми </w:t>
      </w:r>
      <w:r>
        <w:rPr>
          <w:sz w:val="28"/>
          <w:szCs w:val="28"/>
        </w:rPr>
        <w:t xml:space="preserve">от 17 мая 2011 г. № 213 «Об утверждении Методики расчета и размера стои</w:t>
      </w:r>
      <w:r>
        <w:rPr>
          <w:sz w:val="28"/>
          <w:szCs w:val="28"/>
        </w:rPr>
        <w:t xml:space="preserve">мости работ (услуг) по организации ритуальных услуг и содержанию мест захоронения (погребения)» (в ред. от 12.07.2012 № 376, от 11.10.2012 № 612, от 17.07.2013 </w:t>
      </w:r>
      <w:r>
        <w:rPr>
          <w:sz w:val="28"/>
          <w:szCs w:val="28"/>
        </w:rPr>
        <w:t xml:space="preserve">№ 594, от 14.11.2014 № 849, от 18.05.2015 </w:t>
        <w:br/>
        <w:t xml:space="preserve">№ 277, от 25.12.2015 № 1115, </w:t>
      </w:r>
      <w:r>
        <w:rPr>
          <w:sz w:val="28"/>
          <w:szCs w:val="28"/>
        </w:rPr>
        <w:t xml:space="preserve">от 07.11.2016 № 990, от</w:t>
      </w:r>
      <w:r>
        <w:rPr>
          <w:sz w:val="28"/>
          <w:szCs w:val="28"/>
        </w:rPr>
        <w:t xml:space="preserve"> 25.10.2018 № 824, </w:t>
        <w:br/>
        <w:t xml:space="preserve">от 26.12.2019 № 1105, от 30.10.2020 </w:t>
      </w:r>
      <w:r>
        <w:rPr>
          <w:sz w:val="28"/>
          <w:szCs w:val="28"/>
        </w:rPr>
        <w:t xml:space="preserve">№ 1108, от 21.10.2021 № 935, от 25.10.2021 </w:t>
        <w:br/>
        <w:t xml:space="preserve">№ 939, от 25.10.2022 № 1082, </w:t>
      </w:r>
      <w:r>
        <w:rPr>
          <w:sz w:val="28"/>
          <w:szCs w:val="28"/>
        </w:rPr>
        <w:t xml:space="preserve">от 01.12.2022 № 1221, от 14.07.2023 № 599, </w:t>
        <w:br/>
        <w:t xml:space="preserve">от 01.08.2023 № 656, от 26.10.2023 </w:t>
      </w:r>
      <w:r>
        <w:rPr>
          <w:sz w:val="28"/>
          <w:szCs w:val="28"/>
        </w:rPr>
        <w:t xml:space="preserve">№ 1183, от 23.10.2024 № 1027), 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в </w:t>
      </w:r>
      <w:r>
        <w:rPr>
          <w:sz w:val="28"/>
          <w:szCs w:val="28"/>
          <w:highlight w:val="none"/>
        </w:rPr>
        <w:t xml:space="preserve">разделе 5 </w:t>
      </w:r>
      <w:r>
        <w:rPr>
          <w:sz w:val="28"/>
          <w:szCs w:val="28"/>
          <w:highlight w:val="none"/>
        </w:rPr>
        <w:t xml:space="preserve">абзацы двадцать четвертый, </w:t>
      </w:r>
      <w:r>
        <w:rPr>
          <w:sz w:val="28"/>
          <w:szCs w:val="28"/>
          <w:highlight w:val="none"/>
          <w:vertAlign w:val="baseline"/>
        </w:rPr>
        <w:t xml:space="preserve">двадцать пятый</w:t>
      </w:r>
      <w:r>
        <w:rPr>
          <w:sz w:val="28"/>
          <w:szCs w:val="28"/>
          <w:highlight w:val="none"/>
        </w:rPr>
        <w:t xml:space="preserve">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center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</w:rPr>
        <w:t xml:space="preserve">«С</w:t>
      </w:r>
      <w:r>
        <w:rPr>
          <w:sz w:val="28"/>
          <w:szCs w:val="28"/>
          <w:highlight w:val="none"/>
          <w:vertAlign w:val="subscript"/>
        </w:rPr>
        <w:t xml:space="preserve">пер = </w:t>
      </w:r>
      <w:r>
        <w:rPr>
          <w:sz w:val="28"/>
          <w:szCs w:val="28"/>
          <w:highlight w:val="none"/>
          <w:vertAlign w:val="baseline"/>
        </w:rPr>
        <w:t xml:space="preserve">С</w:t>
      </w:r>
      <w:r>
        <w:rPr>
          <w:sz w:val="28"/>
          <w:szCs w:val="28"/>
          <w:highlight w:val="none"/>
          <w:vertAlign w:val="subscript"/>
        </w:rPr>
        <w:t xml:space="preserve">маш./час  </w:t>
      </w:r>
      <w:r>
        <w:rPr>
          <w:sz w:val="28"/>
          <w:szCs w:val="28"/>
          <w:highlight w:val="none"/>
          <w:vertAlign w:val="baseline"/>
        </w:rPr>
        <w:t xml:space="preserve">х Д, где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20"/>
        <w:jc w:val="center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sz w:val="28"/>
          <w:szCs w:val="28"/>
          <w:highlight w:val="none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С</w:t>
      </w:r>
      <w:r>
        <w:rPr>
          <w:sz w:val="28"/>
          <w:szCs w:val="28"/>
          <w:highlight w:val="none"/>
          <w:vertAlign w:val="subscript"/>
        </w:rPr>
        <w:t xml:space="preserve">маш./час </w:t>
      </w:r>
      <w:r>
        <w:rPr>
          <w:sz w:val="28"/>
          <w:szCs w:val="28"/>
          <w:highlight w:val="none"/>
          <w:vertAlign w:val="baseline"/>
        </w:rPr>
        <w:t xml:space="preserve">– стоимость организации автобусных перевозок граждан по территории кладбища «Северное» в выходные, праздничные дни и дни массового посещения кладбища (в религиозные праздники, дни поминовений), маш./час;»;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firstLine="720"/>
        <w:jc w:val="both"/>
        <w:rPr>
          <w:sz w:val="28"/>
          <w:szCs w:val="28"/>
          <w:vertAlign w:val="baseline"/>
        </w:rPr>
      </w:pPr>
      <w:r>
        <w:rPr>
          <w:sz w:val="28"/>
          <w:szCs w:val="28"/>
          <w:highlight w:val="none"/>
          <w:vertAlign w:val="baseline"/>
        </w:rPr>
        <w:t xml:space="preserve">1.2. приложение 4 </w:t>
      </w:r>
      <w:r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 xml:space="preserve">1 к настоящему постановлению.</w:t>
      </w:r>
      <w:r>
        <w:rPr>
          <w:sz w:val="28"/>
          <w:szCs w:val="28"/>
          <w:vertAlign w:val="baseline"/>
        </w:rPr>
      </w:r>
      <w:r>
        <w:rPr>
          <w:sz w:val="28"/>
          <w:szCs w:val="28"/>
          <w:vertAlign w:val="baseline"/>
        </w:rPr>
      </w:r>
    </w:p>
    <w:p>
      <w:pPr>
        <w:ind w:firstLine="720"/>
        <w:jc w:val="both"/>
        <w:widowControl w:val="off"/>
        <w:tabs>
          <w:tab w:val="left" w:pos="567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приложение к Методике р</w:t>
      </w:r>
      <w:r>
        <w:rPr>
          <w:sz w:val="28"/>
          <w:szCs w:val="28"/>
        </w:rPr>
        <w:t xml:space="preserve">асчета стоимости работ по содержанию искусственных дорожных сооружений, пешеходных мостиков, </w:t>
        <w:br/>
        <w:t xml:space="preserve">лестниц, подходов к инженерным сооружениям, расположенных на территории города Перми, обеспечению транспортной безопасности объектов транспортной </w:t>
        <w:br/>
        <w:t xml:space="preserve">инфраструктуры,</w:t>
      </w:r>
      <w:r>
        <w:rPr>
          <w:sz w:val="28"/>
          <w:szCs w:val="28"/>
        </w:rPr>
        <w:t xml:space="preserve"> утвержденной постановлением администрации города Перми </w:t>
        <w:br/>
        <w:t xml:space="preserve">от 28 октября 2011 г. № 688 «Об утверждении Методики расчета</w:t>
      </w:r>
      <w:r>
        <w:rPr>
          <w:sz w:val="28"/>
          <w:szCs w:val="28"/>
        </w:rPr>
        <w:t xml:space="preserve"> и р</w:t>
      </w:r>
      <w:r>
        <w:rPr>
          <w:sz w:val="28"/>
          <w:szCs w:val="28"/>
        </w:rPr>
        <w:t xml:space="preserve">азмера </w:t>
        <w:br/>
        <w:t xml:space="preserve">стоимости работ по содержанию искусственных дорожных сооружений, </w:t>
        <w:br/>
        <w:t xml:space="preserve">пешеходных мостиков, лестниц, подходов к инженерным сооружениям, </w:t>
        <w:br/>
        <w:t xml:space="preserve">расположенных на территории города Перми, обеспечению транспортной </w:t>
        <w:br/>
        <w:t xml:space="preserve">безопасности объектов транспортной инфрастуктуры</w:t>
      </w:r>
      <w:r>
        <w:rPr>
          <w:sz w:val="28"/>
          <w:szCs w:val="28"/>
        </w:rPr>
        <w:t xml:space="preserve">» (в ред. от 23.08.2012 № 488, от 29.11.2013 № 1108, от 25.12.2015 № 1115, от 19.10.201</w:t>
      </w:r>
      <w:r>
        <w:rPr>
          <w:sz w:val="28"/>
          <w:szCs w:val="28"/>
        </w:rPr>
        <w:t xml:space="preserve">7 № 921, от 25.10.2018 </w:t>
        <w:br/>
        <w:t xml:space="preserve">№ 824, от 25.09.2020 № 887, от 30.10.2020 </w:t>
      </w:r>
      <w:r>
        <w:rPr>
          <w:sz w:val="28"/>
          <w:szCs w:val="28"/>
        </w:rPr>
        <w:t xml:space="preserve">№ 1108, от 20.05.2021 № 358, </w:t>
        <w:br/>
        <w:t xml:space="preserve">от 21.10.2021 № 935, от 25.10.2021 № 939, </w:t>
      </w:r>
      <w:r>
        <w:rPr>
          <w:sz w:val="28"/>
          <w:szCs w:val="28"/>
        </w:rPr>
        <w:t xml:space="preserve">от 25.10.2022 № 1082, от 26.10.2023 </w:t>
        <w:br/>
        <w:t xml:space="preserve">№ 1183, от 14.02.2024 № 104, от 23.10.2024 № 1027, от 24.12.2024 № 1280), изложив в редакции согласно приложению 2 к настоящему</w:t>
      </w:r>
      <w:r>
        <w:rPr>
          <w:sz w:val="28"/>
          <w:szCs w:val="28"/>
        </w:rPr>
        <w:t xml:space="preserve">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изменения в размер обеспеченности финансированием работ </w:t>
      </w:r>
      <w:r>
        <w:rPr>
          <w:sz w:val="28"/>
          <w:szCs w:val="28"/>
        </w:rPr>
        <w:br/>
        <w:t xml:space="preserve">по содержанию фонтанов, расположенных на территории города Перми, утвержденный постановлением администрации города Перми от 26 октября 2017 г. </w:t>
      </w:r>
      <w:r>
        <w:rPr>
          <w:sz w:val="28"/>
          <w:szCs w:val="28"/>
        </w:rPr>
        <w:br/>
        <w:t xml:space="preserve">№ 952 «Об утверждении Методик</w:t>
      </w:r>
      <w:r>
        <w:rPr>
          <w:sz w:val="28"/>
          <w:szCs w:val="28"/>
        </w:rPr>
        <w:t xml:space="preserve">и расчета стоимости работ по содержанию фонтанов, расположенных на территории города Перми, размера стоимости работ по содержанию фонтанов, расположенных на территории города Перми, размера обеспеченности финансированием работ по содержанию фонтанов, распо</w:t>
      </w:r>
      <w:r>
        <w:rPr>
          <w:sz w:val="28"/>
          <w:szCs w:val="28"/>
        </w:rPr>
        <w:t xml:space="preserve">ложенных на территории города Перми» (в ред. от 28.02.2018 № 112, от 15.10.2018 </w:t>
      </w:r>
      <w:r>
        <w:rPr>
          <w:sz w:val="28"/>
          <w:szCs w:val="28"/>
        </w:rPr>
        <w:t xml:space="preserve">№ 718, от 26.12.2019 № 1073, от 30.10.2020 № 1108, от 20.05.2021 № 358, </w:t>
      </w:r>
      <w:r>
        <w:rPr>
          <w:sz w:val="28"/>
          <w:szCs w:val="28"/>
        </w:rPr>
        <w:t xml:space="preserve">от 21.10.2021 </w:t>
        <w:br/>
        <w:t xml:space="preserve">№ 935, от 10.08.2022 № 668, от 25.10.2022 № 1082, от 26.10.2023 </w:t>
      </w:r>
      <w:r>
        <w:rPr>
          <w:sz w:val="28"/>
          <w:szCs w:val="28"/>
        </w:rPr>
        <w:t xml:space="preserve">№ 1183, </w:t>
        <w:br/>
        <w:t xml:space="preserve">от 23.10.2024 № 1027), изложив в реда</w:t>
      </w:r>
      <w:r>
        <w:rPr>
          <w:sz w:val="28"/>
          <w:szCs w:val="28"/>
        </w:rPr>
        <w:t xml:space="preserve">кции согласно приложению 3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</w:t>
      </w:r>
      <w:r>
        <w:rPr>
          <w:sz w:val="28"/>
          <w:szCs w:val="28"/>
        </w:rPr>
        <w:t xml:space="preserve"> массовой информации «Официальный бюллетень органов местного самоуправления муниципального образования город Пермь» и применяется к правоотношениям, возникающим при формировании проекта бюджета города Перми на 2026 год и плановый период 2027 и 2028 годов.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</w:t>
      </w:r>
      <w:r>
        <w:rPr>
          <w:color w:val="000000"/>
          <w:sz w:val="28"/>
          <w:szCs w:val="28"/>
        </w:rPr>
        <w:t xml:space="preserve">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color w:val="000000"/>
          <w:sz w:val="28"/>
          <w:szCs w:val="28"/>
        </w:rPr>
        <w:t xml:space="preserve">«Официальный сайт муниципального образования город Пермь www.gorodperm.ru».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И.о. Главы города Перми</w:t>
      </w:r>
      <w:r>
        <w:rPr>
          <w:sz w:val="28"/>
          <w:szCs w:val="28"/>
        </w:rPr>
        <w:tab/>
        <w:t xml:space="preserve">Я.В. Фурман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28.10.2025 № 887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ОБЕСПЕЧЕННОСТИ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финансированием работ (услуг) по организации ритуальных услуг </w:t>
      </w:r>
      <w:r>
        <w:rPr>
          <w:b/>
          <w:sz w:val="28"/>
          <w:szCs w:val="28"/>
        </w:rPr>
        <w:br/>
        <w:t xml:space="preserve">и содержанию мест захоронения (погребения) на 2026-2028 годы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5952"/>
        <w:gridCol w:w="1276"/>
        <w:gridCol w:w="22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  <w:br/>
              <w:t xml:space="preserve">обеспеченности, </w:t>
              <w:br/>
              <w:t xml:space="preserve">не ниже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Работы (услуги) по организации ритуальных услуг и содержанию мест </w:t>
            </w:r>
            <w:r>
              <w:rPr>
                <w:sz w:val="28"/>
                <w:szCs w:val="28"/>
              </w:rPr>
              <w:br/>
              <w:t xml:space="preserve">захоронения (погребения), в том числе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организация содержания мест захоронения (погребения)</w:t>
            </w:r>
            <w:r>
              <w:rPr>
                <w:sz w:val="28"/>
                <w:szCs w:val="28"/>
                <w:highlight w:val="green"/>
              </w:rPr>
            </w:r>
            <w:r>
              <w:rPr>
                <w:sz w:val="28"/>
                <w:szCs w:val="28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организация автобусных перевозок граждан по территории кладбища «Северное» в выходные, праздничные дни и дни массового посещения кладбища (в религиозные праздники, дни поминовений)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перевозки (эвакуации) умерших из жилых помещений (при отсутствии супруга, близких родственников, иных родственников либо законного представителя умершего или при невозможности осуществить ими эвакуацию), а также с улиц, мест аварий и иных мест </w:t>
            </w:r>
            <w:r>
              <w:rPr>
                <w:sz w:val="28"/>
                <w:szCs w:val="28"/>
              </w:rPr>
              <w:t xml:space="preserve">(за исключением медицинских и иных организаций, осуществляющих наряду с основной медицинскую деятельность)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bookmarkStart w:id="0" w:name="undefined"/>
      <w:r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28.10.2025 № 887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ОБЕСПЕЧЕННОСТИ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финансированием работ по содержанию искусственных дорожных </w:t>
        <w:br/>
        <w:t xml:space="preserve">сооружений,</w:t>
      </w:r>
      <w:r>
        <w:rPr>
          <w:b/>
          <w:sz w:val="28"/>
          <w:szCs w:val="28"/>
        </w:rPr>
        <w:t xml:space="preserve"> пешеходных мостиков, лестниц, подходов к инженерным </w:t>
        <w:br/>
        <w:t xml:space="preserve">сооружениям, расположенных на территории города Перми, обеспечению транспортной безопасности объектов транспортной инфраструктуры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на 2026-2028 годы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294"/>
        <w:gridCol w:w="1561"/>
        <w:gridCol w:w="2506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обеспеченности, не ниже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искусственных дорожных сооружений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94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Обеспечение транспортной безопасности объектов транспортной инфраструктуры</w:t>
            </w:r>
            <w:r/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2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94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Содержание пешеходных мостиков, лестниц, подходов к инженерным сооружениям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74,8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100,0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95,5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both"/>
        <w:widowControl w:val="off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</w:r>
      <w:r>
        <w:rPr>
          <w:rFonts w:ascii="Calibri" w:hAnsi="Calibri" w:cs="Calibri"/>
          <w:sz w:val="22"/>
          <w:lang w:val="en-US"/>
        </w:rPr>
      </w:r>
      <w:r>
        <w:rPr>
          <w:rFonts w:ascii="Calibri" w:hAnsi="Calibri" w:cs="Calibri"/>
          <w:sz w:val="22"/>
          <w:lang w:val="en-US"/>
        </w:rPr>
      </w:r>
    </w:p>
    <w:p>
      <w:pPr>
        <w:ind w:left="5670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28.10.2025 № 887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ОБЕСПЕЧЕННОСТИ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финансированием работ по содержанию фонтанов, расположенных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территории города Перми, на 2026-2028 годы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5488"/>
        <w:gridCol w:w="1559"/>
        <w:gridCol w:w="241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54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обеспеченности, не ниже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548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52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548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фонтанов, расположенных </w:t>
              <w:br/>
              <w:t xml:space="preserve">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62" w:type="dxa"/>
              <w:right w:w="62" w:type="dxa"/>
              <w:bottom w:w="62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9</cp:revision>
  <dcterms:created xsi:type="dcterms:W3CDTF">2024-10-25T06:26:00Z</dcterms:created>
  <dcterms:modified xsi:type="dcterms:W3CDTF">2025-10-28T12:15:44Z</dcterms:modified>
</cp:coreProperties>
</file>