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1" name="Рисунок 10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3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05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0</wp:posOffset>
                </wp:positionV>
                <wp:extent cx="6285865" cy="1114425"/>
                <wp:effectExtent l="0" t="0" r="0" b="0"/>
                <wp:wrapNone/>
                <wp:docPr id="2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14424"/>
                          <a:chOff x="0" y="0"/>
                          <a:chExt cx="6285864" cy="111442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11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0263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01.11.2025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0581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904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0.00pt;mso-position-vertical:absolute;width:494.95pt;height:87.75pt;mso-wrap-distance-left:9.00pt;mso-wrap-distance-top:0.00pt;mso-wrap-distance-right:9.00pt;mso-wrap-distance-bottom:0.00pt;" coordorigin="0,0" coordsize="62858,11144">
                <v:shape id="shape 2" o:spid="_x0000_s2" o:spt="202" type="#_x0000_t202" style="position:absolute;left:0;top:0;width:62858;height:11112;visibility:visible;" fillcolor="#FFFFFF" stroked="f">
                  <v:textbox inset="0,0,0,0">
                    <w:txbxContent>
                      <w:p>
                        <w:pPr>
                          <w:pStyle w:val="74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026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01.11.2025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05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904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5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5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5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2"/>
        <w:ind w:right="4820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br/>
        <w:t xml:space="preserve">в </w:t>
      </w:r>
      <w:r>
        <w:rPr>
          <w:b/>
        </w:rPr>
        <w:t xml:space="preserve">границы тарифных зон и размер</w:t>
      </w:r>
      <w:r>
        <w:rPr>
          <w:b/>
        </w:rPr>
        <w:br/>
        <w:t xml:space="preserve">платы за пользование парковками</w:t>
      </w:r>
      <w:r>
        <w:rPr>
          <w:b/>
        </w:rPr>
        <w:br/>
        <w:t xml:space="preserve">общего пользования местного значения города Перми, утвержденные </w:t>
      </w:r>
      <w:r>
        <w:rPr>
          <w:b/>
        </w:rPr>
        <w:br/>
      </w:r>
      <w:bookmarkStart w:id="0" w:name="_GoBack"/>
      <w:r/>
      <w:bookmarkEnd w:id="0"/>
      <w:r>
        <w:rPr>
          <w:b/>
        </w:rPr>
        <w:t xml:space="preserve">постановление</w:t>
      </w:r>
      <w:r>
        <w:rPr>
          <w:b/>
        </w:rPr>
        <w:t xml:space="preserve">м</w:t>
      </w:r>
      <w:r>
        <w:rPr>
          <w:b/>
        </w:rPr>
        <w:t xml:space="preserve"> администрации </w:t>
      </w:r>
      <w:r>
        <w:rPr>
          <w:b/>
        </w:rPr>
        <w:br w:type="textWrapping" w:clear="all"/>
        <w:t xml:space="preserve">города Перми от 31.12.2015 № 1150 </w:t>
      </w:r>
      <w:r>
        <w:rPr>
          <w:b/>
        </w:rPr>
        <w:br w:type="textWrapping" w:clear="all"/>
        <w:t xml:space="preserve">«О создании и использовании </w:t>
      </w:r>
      <w:r>
        <w:rPr>
          <w:b/>
        </w:rPr>
        <w:br w:type="textWrapping" w:clear="all"/>
        <w:t xml:space="preserve">на платной основе парковок </w:t>
      </w:r>
      <w:r>
        <w:rPr>
          <w:b/>
        </w:rPr>
        <w:br w:type="textWrapping" w:clear="all"/>
        <w:t xml:space="preserve">общего пользования местного </w:t>
      </w:r>
      <w:r>
        <w:rPr>
          <w:b/>
        </w:rPr>
        <w:br w:type="textWrapping" w:clear="all"/>
        <w:t xml:space="preserve">значения города Перми» </w:t>
      </w:r>
      <w:r>
        <w:rPr>
          <w:b/>
        </w:rPr>
      </w:r>
      <w:r>
        <w:rPr>
          <w:b/>
        </w:rPr>
      </w:r>
    </w:p>
    <w:p>
      <w:pPr>
        <w:pStyle w:val="892"/>
        <w:ind w:right="5237"/>
        <w:spacing w:line="240" w:lineRule="auto"/>
      </w:pPr>
      <w:r/>
      <w:r/>
    </w:p>
    <w:p>
      <w:pPr>
        <w:pStyle w:val="892"/>
        <w:ind w:right="5237"/>
        <w:spacing w:line="240" w:lineRule="auto"/>
      </w:pPr>
      <w:r/>
      <w:r/>
    </w:p>
    <w:p>
      <w:pPr>
        <w:pStyle w:val="892"/>
        <w:ind w:right="5237"/>
        <w:spacing w:line="240" w:lineRule="auto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</w:t>
      </w:r>
      <w:r>
        <w:rPr>
          <w:sz w:val="28"/>
          <w:szCs w:val="28"/>
        </w:rPr>
        <w:t xml:space="preserve"> самоуправления в Российской Федерации»,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29 декабря 2017 г. № 443-ФЗ </w:t>
      </w:r>
      <w:r>
        <w:rPr>
          <w:sz w:val="28"/>
          <w:szCs w:val="28"/>
        </w:rPr>
        <w:br/>
        <w:t xml:space="preserve">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>
        <w:rPr>
          <w:bCs/>
          <w:sz w:val="28"/>
          <w:szCs w:val="28"/>
        </w:rPr>
        <w:t xml:space="preserve">от 20</w:t>
      </w:r>
      <w:r>
        <w:rPr>
          <w:bCs/>
          <w:sz w:val="28"/>
          <w:szCs w:val="28"/>
        </w:rPr>
        <w:t xml:space="preserve"> марта </w:t>
      </w:r>
      <w:r>
        <w:rPr>
          <w:bCs/>
          <w:sz w:val="28"/>
          <w:szCs w:val="28"/>
        </w:rPr>
        <w:t xml:space="preserve">2025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№ 33-ФЗ «Об общих принципах организации местного самоуправления </w:t>
        <w:br/>
        <w:t xml:space="preserve">в единой системе публичной власти», постановлением Правительства Пермского края от 07</w:t>
      </w:r>
      <w:r>
        <w:rPr>
          <w:bCs/>
          <w:sz w:val="28"/>
          <w:szCs w:val="28"/>
        </w:rPr>
        <w:t xml:space="preserve"> июля </w:t>
      </w:r>
      <w:r>
        <w:rPr>
          <w:bCs/>
          <w:sz w:val="28"/>
          <w:szCs w:val="28"/>
        </w:rPr>
        <w:t xml:space="preserve">2025 </w:t>
      </w:r>
      <w:r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 xml:space="preserve">№ 555-п «</w:t>
      </w:r>
      <w:r>
        <w:rPr>
          <w:sz w:val="28"/>
          <w:szCs w:val="28"/>
        </w:rPr>
        <w:t xml:space="preserve">Об определении методики расчета размера платы за пользование платными парковками на автомобильных дорогах регионального или межмуниципального значения Пермского края, автомобильных дор</w:t>
      </w:r>
      <w:r>
        <w:rPr>
          <w:sz w:val="28"/>
          <w:szCs w:val="28"/>
        </w:rPr>
        <w:t xml:space="preserve">огах местного значения на территории Пермского края и об установлении максимального размера платы за пользование платными парковками на автомобильных дорогах регионального или межмуниципального значения Пермского края, автомобильных дорогах местного значен</w:t>
      </w:r>
      <w:r>
        <w:rPr>
          <w:sz w:val="28"/>
          <w:szCs w:val="28"/>
        </w:rPr>
        <w:t xml:space="preserve">ия на территории Пермского края», решением Пермской городской Думы от 26 апреля 2022 г. № 78 «Об утверждении Положения о парковках общего пользования местного значения города Перми», в 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границы тарифных зон и размер платы за пользование парковками общего пользования местного значени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города Перми, утвержденные постановлением администрации города Перми от 31 декабря 2015 г. № 1150 «О создании </w:t>
        <w:br/>
        <w:t xml:space="preserve">и использовании на платной основе парковок общего пользования местного значения города Перми» (в ред. от 26.02.2016 № 131, от 04.08.2016 № 555, </w:t>
      </w:r>
      <w:r>
        <w:rPr>
          <w:sz w:val="28"/>
          <w:szCs w:val="28"/>
        </w:rPr>
        <w:br w:type="textWrapping" w:clear="all"/>
        <w:t xml:space="preserve">от 13.06.2017 № 456, от 24.08.2017 № 652, от 15.05.2018 № 301, от 17.08.2018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537, от 13.09.2018 № 601, от 04.12.2018 № 951, от 12.11.2020 № 1147, </w:t>
      </w:r>
      <w:r>
        <w:rPr>
          <w:sz w:val="28"/>
          <w:szCs w:val="28"/>
        </w:rPr>
        <w:br/>
        <w:t xml:space="preserve">от 22.12.2021 № 1177, от 27.06.2022 № 536, от 28.10.2022 № 1087, от 22.11.2022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1178, от 08.08.2023 № 677, от 18.10.2023 № 1090, от 24.11.2023 № 1300</w:t>
      </w:r>
      <w:r>
        <w:t xml:space="preserve">, </w:t>
      </w:r>
      <w:r>
        <w:br/>
      </w:r>
      <w:r>
        <w:rPr>
          <w:sz w:val="28"/>
          <w:szCs w:val="28"/>
        </w:rPr>
        <w:t xml:space="preserve">от 03.05.2024 № 339, от 05.06.2024 № 452, от 05.07.2024 № 570, от 26.11.2024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1132</w:t>
      </w:r>
      <w:r>
        <w:rPr>
          <w:sz w:val="28"/>
          <w:szCs w:val="28"/>
        </w:rPr>
        <w:t xml:space="preserve">, от 23.04.2025 № 277, от 27.08.2025 № 588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 графе 6 строки 1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графе 6 строки 2 </w:t>
      </w:r>
      <w:r>
        <w:rPr>
          <w:sz w:val="28"/>
          <w:szCs w:val="28"/>
        </w:rPr>
        <w:t xml:space="preserve">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графе 6 строки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в строке 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</w:t>
      </w:r>
      <w:r>
        <w:rPr>
          <w:sz w:val="28"/>
          <w:szCs w:val="28"/>
        </w:rPr>
        <w:t xml:space="preserve">. в графе 2 цифры «103» заменить цифрами «102»;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графе 6 </w:t>
      </w:r>
      <w:r>
        <w:rPr>
          <w:sz w:val="28"/>
          <w:szCs w:val="28"/>
        </w:rPr>
        <w:t xml:space="preserve">цифры «30,00» заменить цифрами «40,00»;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графе 6 строки</w:t>
      </w:r>
      <w:r>
        <w:rPr>
          <w:sz w:val="28"/>
          <w:szCs w:val="28"/>
        </w:rPr>
        <w:t xml:space="preserve"> 4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графе 6 строки</w:t>
      </w:r>
      <w:r>
        <w:rPr>
          <w:sz w:val="28"/>
          <w:szCs w:val="28"/>
        </w:rPr>
        <w:t xml:space="preserve"> 5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графе 6 строки</w:t>
      </w:r>
      <w:r>
        <w:rPr>
          <w:sz w:val="28"/>
          <w:szCs w:val="28"/>
        </w:rPr>
        <w:t xml:space="preserve"> 6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 графе 6 строки</w:t>
      </w:r>
      <w:r>
        <w:rPr>
          <w:sz w:val="28"/>
          <w:szCs w:val="28"/>
        </w:rPr>
        <w:t xml:space="preserve"> 7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в графе 6 строки</w:t>
      </w:r>
      <w:r>
        <w:rPr>
          <w:sz w:val="28"/>
          <w:szCs w:val="28"/>
        </w:rPr>
        <w:t xml:space="preserve"> 8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графе 6 строки</w:t>
      </w:r>
      <w:r>
        <w:rPr>
          <w:sz w:val="28"/>
          <w:szCs w:val="28"/>
        </w:rPr>
        <w:t xml:space="preserve"> 9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в графе 6 строки 10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в графе 6 строки 12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>
        <w:rPr>
          <w:sz w:val="28"/>
          <w:szCs w:val="28"/>
        </w:rPr>
        <w:t xml:space="preserve">в графе 6 строки 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в графе 6 строки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в графе 6 строки 15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в графе 6 строки 16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 в графе 6 строки 17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в графе 6 строки 18 цифры «20,00» заменить цифрами «30,00»;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в графе 6 строки 19 цифры «20,00» заменить цифрами «30,00»;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в графе 6 строки 20 цифры «20,00» заменить цифрами «30,00».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</w:t>
      </w:r>
      <w:r>
        <w:rPr>
          <w:sz w:val="28"/>
          <w:szCs w:val="28"/>
        </w:rPr>
        <w:t xml:space="preserve">я 2025 г., но не ранее </w:t>
      </w:r>
      <w:r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right="5386"/>
        <w:spacing w:line="240" w:lineRule="auto"/>
      </w:pPr>
      <w:r/>
      <w:r/>
    </w:p>
    <w:p>
      <w:pPr>
        <w:jc w:val="both"/>
        <w:spacing w:line="240" w:lineRule="exact"/>
        <w:tabs>
          <w:tab w:val="right" w:pos="9915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И.о. Главы города Перми                                                                          </w:t>
      </w:r>
      <w:r>
        <w:rPr>
          <w:bCs/>
          <w:sz w:val="28"/>
          <w:szCs w:val="28"/>
        </w:rPr>
        <w:t xml:space="preserve">Я.В. Фурман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7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</w:style>
  <w:style w:type="paragraph" w:styleId="689">
    <w:name w:val="Heading 1"/>
    <w:basedOn w:val="688"/>
    <w:next w:val="688"/>
    <w:link w:val="717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18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uiPriority w:val="10"/>
    <w:rPr>
      <w:sz w:val="48"/>
      <w:szCs w:val="48"/>
    </w:rPr>
  </w:style>
  <w:style w:type="character" w:styleId="711" w:customStyle="1">
    <w:name w:val="Subtitle Char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Caption Char"/>
    <w:uiPriority w:val="35"/>
    <w:rPr>
      <w:b/>
      <w:bCs/>
      <w:color w:val="4f81bd"/>
      <w:sz w:val="18"/>
      <w:szCs w:val="18"/>
    </w:rPr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rPr>
      <w:lang w:eastAsia="zh-CN"/>
    </w:rPr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Заголовок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891"/>
    <w:uiPriority w:val="99"/>
    <w:pPr>
      <w:tabs>
        <w:tab w:val="center" w:pos="4153" w:leader="none"/>
        <w:tab w:val="right" w:pos="8306" w:leader="none"/>
      </w:tabs>
    </w:pPr>
  </w:style>
  <w:style w:type="character" w:styleId="737" w:customStyle="1">
    <w:name w:val="Header Char"/>
    <w:uiPriority w:val="99"/>
  </w:style>
  <w:style w:type="paragraph" w:styleId="738">
    <w:name w:val="Footer"/>
    <w:basedOn w:val="688"/>
    <w:pPr>
      <w:tabs>
        <w:tab w:val="center" w:pos="4153" w:leader="none"/>
        <w:tab w:val="right" w:pos="8306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link w:val="74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1" w:customStyle="1">
    <w:name w:val="Название объекта Знак"/>
    <w:link w:val="740"/>
    <w:uiPriority w:val="99"/>
  </w:style>
  <w:style w:type="table" w:styleId="742">
    <w:name w:val="Table Grid"/>
    <w:basedOn w:val="699"/>
    <w:tblPr/>
  </w:style>
  <w:style w:type="table" w:styleId="74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8">
    <w:name w:val="Hyperlink"/>
    <w:uiPriority w:val="99"/>
    <w:unhideWhenUsed/>
    <w:rPr>
      <w:color w:val="0000ff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  <w:rPr>
      <w:lang w:eastAsia="zh-CN"/>
    </w:rPr>
  </w:style>
  <w:style w:type="paragraph" w:styleId="885">
    <w:name w:val="table of figures"/>
    <w:basedOn w:val="688"/>
    <w:next w:val="688"/>
    <w:uiPriority w:val="99"/>
    <w:unhideWhenUsed/>
  </w:style>
  <w:style w:type="paragraph" w:styleId="886">
    <w:name w:val="Body Text"/>
    <w:basedOn w:val="688"/>
    <w:link w:val="895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688"/>
    <w:pPr>
      <w:ind w:right="-1"/>
      <w:jc w:val="both"/>
    </w:pPr>
    <w:rPr>
      <w:sz w:val="26"/>
    </w:rPr>
  </w:style>
  <w:style w:type="character" w:styleId="888">
    <w:name w:val="page number"/>
    <w:basedOn w:val="698"/>
  </w:style>
  <w:style w:type="paragraph" w:styleId="889">
    <w:name w:val="Balloon Text"/>
    <w:basedOn w:val="688"/>
    <w:link w:val="890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character" w:styleId="891" w:customStyle="1">
    <w:name w:val="Верхний колонтитул Знак"/>
    <w:link w:val="736"/>
    <w:uiPriority w:val="99"/>
  </w:style>
  <w:style w:type="paragraph" w:styleId="892" w:customStyle="1">
    <w:name w:val="Форма"/>
    <w:rPr>
      <w:sz w:val="28"/>
      <w:szCs w:val="28"/>
    </w:rPr>
  </w:style>
  <w:style w:type="paragraph" w:styleId="893" w:customStyle="1">
    <w:name w:val="ConsPlusNormal"/>
    <w:link w:val="896"/>
    <w:pPr>
      <w:widowControl w:val="off"/>
    </w:pPr>
    <w:rPr>
      <w:sz w:val="24"/>
      <w:szCs w:val="24"/>
    </w:rPr>
  </w:style>
  <w:style w:type="paragraph" w:styleId="894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895" w:customStyle="1">
    <w:name w:val="Основной текст Знак"/>
    <w:link w:val="886"/>
    <w:rPr>
      <w:rFonts w:ascii="Courier New" w:hAnsi="Courier New"/>
      <w:sz w:val="26"/>
    </w:rPr>
  </w:style>
  <w:style w:type="character" w:styleId="896" w:customStyle="1">
    <w:name w:val="ConsPlusNormal Знак"/>
    <w:link w:val="893"/>
    <w:rPr>
      <w:sz w:val="24"/>
      <w:szCs w:val="24"/>
    </w:rPr>
  </w:style>
  <w:style w:type="paragraph" w:styleId="897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character" w:styleId="898" w:customStyle="1">
    <w:name w:val="Основной шрифт абзаца3"/>
  </w:style>
  <w:style w:type="paragraph" w:styleId="899">
    <w:name w:val="Normal (Web)"/>
    <w:basedOn w:val="688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0">
    <w:name w:val="HTML Preformatted"/>
    <w:basedOn w:val="688"/>
    <w:link w:val="901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01" w:customStyle="1">
    <w:name w:val="Стандартный HTML Знак"/>
    <w:link w:val="900"/>
    <w:uiPriority w:val="99"/>
    <w:semiHidden/>
    <w:rPr>
      <w:rFonts w:ascii="Courier New" w:hAnsi="Courier New" w:cs="Courier New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6</cp:revision>
  <dcterms:created xsi:type="dcterms:W3CDTF">2025-10-09T08:29:00Z</dcterms:created>
  <dcterms:modified xsi:type="dcterms:W3CDTF">2025-11-01T06:33:19Z</dcterms:modified>
  <cp:version>917504</cp:version>
</cp:coreProperties>
</file>