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tabs>
          <w:tab w:val="clear" w:pos="4153" w:leader="none"/>
          <w:tab w:val="clear" w:pos="8306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59918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-171990</wp:posOffset>
                </wp:positionV>
                <wp:extent cx="6285864" cy="1283239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285863" cy="1283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734"/>
                              <w:jc w:val="center"/>
                              <w:spacing w:before="120" w:line="240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О С Т А Н О В Л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0.60pt;mso-position-horizontal:absolute;mso-position-vertical-relative:text;margin-top:-13.54pt;mso-position-vertical:absolute;width:494.95pt;height:101.04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734"/>
                        <w:jc w:val="center"/>
                        <w:spacing w:before="120" w:line="240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О С Т А Н О В Л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88"/>
        <w:ind w:right="0"/>
        <w:jc w:val="both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spacing w:line="240" w:lineRule="exact"/>
        <w:rPr>
          <w:b/>
          <w:bCs/>
        </w:rPr>
      </w:pPr>
      <w:r>
        <w:rPr>
          <w:b/>
        </w:rPr>
        <w:t xml:space="preserve">Об утверждении Перечня</w:t>
      </w:r>
      <w:r>
        <w:rPr>
          <w:b/>
          <w:bCs/>
        </w:rPr>
      </w:r>
      <w:r>
        <w:rPr>
          <w:b/>
          <w:bCs/>
        </w:rPr>
      </w:r>
    </w:p>
    <w:p>
      <w:pPr>
        <w:pStyle w:val="892"/>
        <w:spacing w:line="240" w:lineRule="exact"/>
        <w:rPr>
          <w:b/>
          <w:bCs/>
        </w:rPr>
      </w:pPr>
      <w:r>
        <w:rPr>
          <w:b/>
        </w:rPr>
        <w:t xml:space="preserve">мер </w:t>
      </w:r>
      <w:r>
        <w:rPr>
          <w:b/>
        </w:rPr>
        <w:t xml:space="preserve">поддержки участников</w:t>
      </w:r>
      <w:r>
        <w:rPr>
          <w:b/>
          <w:bCs/>
        </w:rPr>
      </w:r>
      <w:r>
        <w:rPr>
          <w:b/>
          <w:bCs/>
        </w:rPr>
      </w:r>
    </w:p>
    <w:p>
      <w:pPr>
        <w:pStyle w:val="892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добровольческой </w:t>
      </w:r>
      <w:r>
        <w:rPr>
          <w:b/>
        </w:rPr>
        <w:t xml:space="preserve">(волонтерской)</w:t>
      </w:r>
      <w:r>
        <w:rPr>
          <w:b/>
          <w:bCs/>
        </w:rPr>
      </w:r>
      <w:r>
        <w:rPr>
          <w:b/>
          <w:bCs/>
        </w:rPr>
      </w:r>
    </w:p>
    <w:p>
      <w:pPr>
        <w:pStyle w:val="892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деятельности на территории</w:t>
      </w:r>
      <w:r>
        <w:rPr>
          <w:b/>
          <w:bCs/>
        </w:rPr>
      </w:r>
      <w:r>
        <w:rPr>
          <w:b/>
          <w:bCs/>
        </w:rPr>
      </w:r>
    </w:p>
    <w:p>
      <w:pPr>
        <w:pStyle w:val="892"/>
        <w:spacing w:line="240" w:lineRule="exact"/>
        <w:rPr>
          <w:b/>
          <w:bCs/>
        </w:rPr>
      </w:pPr>
      <w:r>
        <w:rPr>
          <w:b/>
        </w:rPr>
        <w:t xml:space="preserve">города Перми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="0" w:after="0" w:line="283" w:lineRule="atLeas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В соответствии с Федеральным законом от 11 августа 1995 года № 135-ФЗ «О благотворительной деятельности и добровольчестве (волонтерстве)»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94"/>
        <w:contextualSpacing/>
        <w:ind w:firstLine="709"/>
        <w:jc w:val="both"/>
        <w:spacing w:before="0" w:after="0" w:line="283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Утвердить Перечень мер поддержки участников добровольческой (волонтерской) деятельности на территории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Настоящее пос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тановление вступает в силу со дня официаль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ного опубликования в печатном средстве массовой информаци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заместителя главы администрации города Перми Трошкова С.В.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contextualSpacing/>
        <w:ind w:firstLine="709"/>
        <w:jc w:val="both"/>
        <w:spacing w:before="0" w:after="0" w:line="283" w:lineRule="atLeas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tabs>
          <w:tab w:val="clear" w:pos="4153" w:leader="none"/>
          <w:tab w:val="clear" w:pos="830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tabs>
          <w:tab w:val="clear" w:pos="4153" w:leader="none"/>
          <w:tab w:val="clear" w:pos="830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tabs>
          <w:tab w:val="clear" w:pos="4153" w:leader="none"/>
          <w:tab w:val="clear" w:pos="830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tabs>
          <w:tab w:val="clear" w:pos="4153" w:leader="none"/>
          <w:tab w:val="clear" w:pos="8306" w:leader="none"/>
        </w:tabs>
        <w:rPr>
          <w:sz w:val="24"/>
          <w:szCs w:val="24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left="0" w:right="480" w:firstLine="10205"/>
        <w:jc w:val="both"/>
        <w:tabs>
          <w:tab w:val="left" w:pos="703" w:leader="none"/>
          <w:tab w:val="clear" w:pos="4153" w:leader="none"/>
          <w:tab w:val="clear" w:pos="8306" w:leader="none"/>
        </w:tabs>
        <w:rPr>
          <w:sz w:val="28"/>
          <w:szCs w:val="28"/>
        </w:rPr>
      </w:pPr>
      <w:r>
        <w:rPr>
          <w:rStyle w:val="895"/>
          <w:sz w:val="28"/>
          <w:szCs w:val="28"/>
          <w:lang w:val="en-US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left="0" w:right="480" w:firstLine="10205"/>
        <w:jc w:val="both"/>
        <w:tabs>
          <w:tab w:val="clear" w:pos="708" w:leader="none"/>
          <w:tab w:val="left" w:pos="11503" w:leader="none"/>
        </w:tabs>
        <w:rPr>
          <w:rStyle w:val="895"/>
          <w:sz w:val="28"/>
          <w:szCs w:val="28"/>
          <w:lang w:val="en-US"/>
        </w:rPr>
      </w:pPr>
      <w:r>
        <w:rPr>
          <w:rStyle w:val="895"/>
          <w:sz w:val="28"/>
          <w:szCs w:val="28"/>
          <w:lang w:val="en-US"/>
        </w:rPr>
        <w:t xml:space="preserve">постановлением </w:t>
      </w:r>
      <w:r>
        <w:rPr>
          <w:rStyle w:val="895"/>
          <w:sz w:val="28"/>
          <w:szCs w:val="28"/>
          <w:lang w:val="en-US"/>
        </w:rPr>
        <w:t xml:space="preserve">администрации</w:t>
      </w:r>
      <w:r>
        <w:rPr>
          <w:rStyle w:val="895"/>
          <w:sz w:val="28"/>
          <w:szCs w:val="28"/>
          <w:lang w:val="en-US"/>
        </w:rPr>
      </w:r>
      <w:r>
        <w:rPr>
          <w:rStyle w:val="895"/>
          <w:sz w:val="28"/>
          <w:szCs w:val="28"/>
          <w:lang w:val="en-US"/>
        </w:rPr>
      </w:r>
    </w:p>
    <w:p>
      <w:pPr>
        <w:pStyle w:val="894"/>
        <w:ind w:left="0" w:right="480" w:firstLine="10205"/>
        <w:jc w:val="both"/>
        <w:tabs>
          <w:tab w:val="clear" w:pos="708" w:leader="none"/>
          <w:tab w:val="left" w:pos="11503" w:leader="none"/>
        </w:tabs>
        <w:rPr>
          <w:sz w:val="28"/>
          <w:szCs w:val="28"/>
        </w:rPr>
      </w:pPr>
      <w:r>
        <w:rPr>
          <w:rStyle w:val="895"/>
          <w:sz w:val="28"/>
          <w:szCs w:val="28"/>
          <w:lang w:val="en-US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left="0" w:right="480" w:firstLine="10205"/>
        <w:jc w:val="both"/>
        <w:tabs>
          <w:tab w:val="clear" w:pos="708" w:leader="none"/>
          <w:tab w:val="left" w:pos="11503" w:leader="none"/>
        </w:tabs>
        <w:rPr>
          <w:sz w:val="28"/>
          <w:szCs w:val="28"/>
        </w:rPr>
      </w:pPr>
      <w:r>
        <w:rPr>
          <w:rStyle w:val="895"/>
          <w:rFonts w:ascii="Times New Roman" w:hAnsi="Times New Roman" w:eastAsia="Montserrat" w:cs="Times New Roman"/>
          <w:b w:val="0"/>
          <w:bCs w:val="0"/>
          <w:sz w:val="28"/>
          <w:szCs w:val="28"/>
          <w:lang w:val="en-US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tabs>
          <w:tab w:val="clear" w:pos="4153" w:leader="none"/>
          <w:tab w:val="clear" w:pos="8306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38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ПЕРЕЧЕНЬ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38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мер поддержки участников добровольческой (волонтерской) деятельности на территории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409"/>
        <w:gridCol w:w="7552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№ п/п</w:t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Описание меры поддержки</w:t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Ответственный за предоставление меры поддержки </w:t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Регламентирующие документы предоставления меры поддержки (нормативные правовые акты, положения, инструкции и др.)</w:t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14213" w:type="dxa"/>
            <w:textDirection w:val="lrTb"/>
            <w:noWrap w:val="false"/>
          </w:tcPr>
          <w:p>
            <w:pPr>
              <w:jc w:val="center"/>
              <w:rPr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i w:val="0"/>
                <w:iCs w:val="0"/>
                <w:sz w:val="28"/>
                <w:szCs w:val="28"/>
                <w:highlight w:val="none"/>
              </w:rPr>
              <w:t xml:space="preserve">I. Организационная поддержка</w:t>
            </w:r>
            <w:r>
              <w:rPr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i w:val="0"/>
                <w:i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1.1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  <w:t xml:space="preserve">Вручение з</w:t>
            </w:r>
            <w:r>
              <w:rPr>
                <w:sz w:val="28"/>
                <w:szCs w:val="28"/>
                <w:highlight w:val="none"/>
              </w:rPr>
              <w:t xml:space="preserve">нака «Доброволец города Перми»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Департамент культуры </w:t>
            </w:r>
            <w:r>
              <w:rPr>
                <w:sz w:val="28"/>
                <w:szCs w:val="28"/>
                <w:highlight w:val="none"/>
              </w:rPr>
              <w:t xml:space="preserve">и молодежной политики администрации </w:t>
            </w:r>
            <w:r>
              <w:rPr>
                <w:sz w:val="28"/>
                <w:szCs w:val="28"/>
                <w:highlight w:val="none"/>
              </w:rPr>
              <w:t xml:space="preserve">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(далее - ДКМП)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Положение о знаке «Доброволец города Перми», утвержденное п</w:t>
            </w:r>
            <w:r>
              <w:rPr>
                <w:sz w:val="28"/>
                <w:szCs w:val="28"/>
                <w:highlight w:val="none"/>
              </w:rPr>
              <w:t xml:space="preserve">остановлением администрации </w:t>
            </w:r>
            <w:r>
              <w:rPr>
                <w:sz w:val="28"/>
                <w:szCs w:val="28"/>
                <w:highlight w:val="none"/>
              </w:rPr>
              <w:t xml:space="preserve">города Перми от 23.10.2009 № 716 «Об утверждении Положения о знаке «Доброволец города Перми», Положения и состава комиссии по представлению к вручению знака «Доброволец города Перми»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1.2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Вручение Знака отличия «За особый вклад в развитие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Администрация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Положение о Знаке отличия «За особый вклад в развитие района»,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утвержденное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остановлением Главы города Перми от 28.11.2016 № 24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 утверждении Положения о Благодарственном письме Главы города Перми, Положения о благодарности Главы города Перми и Положения о Знаке отличия «За особый вклад в развитие района»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1.3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Представление к поощрению благодарностью Главы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Администрация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Положение о благодарности Главы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утвержденное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остановлением Главы города Перми от 28.11.2016 № 24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 утверждении Положения о Благодарственном письме Главы города Перми, Положения о благодарности Главы города Перми и Положения о Знаке отличия «За особый вклад в развитие района»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1.4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Представление к поощрению Благодарственным письмом Главы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Администрация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Положение о Благодарственном письме Главы города Перми, утвержденное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остановлением Главы города Перми от 28.11.2016 № 24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 утверждении Положения о Благодарственном письме Главы города Перми, Положения о благодарности Главы города Перми и Положения о Знаке отличия «За особый вклад в развитие района»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spacing w:before="0" w:after="0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  <w:lang w:val="ru-RU" w:eastAsia="ru-RU" w:bidi="ar-SA"/>
              </w:rPr>
              <w:t xml:space="preserve">1.5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Представление к поощрению благодарностью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widowControl/>
              <w:rPr>
                <w:rFonts w:eastAsia="Times New Roman" w:cs="Times New Roman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Администрация города Перми</w:t>
            </w:r>
            <w:r>
              <w:rPr>
                <w:rFonts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widowControl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Положение о благодарности администрации города Перми, утвержденное п</w:t>
            </w: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остановлением администрации города Перми</w:t>
              <w:br/>
              <w:t xml:space="preserve">от 26.10.2018 </w:t>
            </w: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№ 835 «</w:t>
            </w: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Об утверждении Положения о благодарности администрации города Перми и Положения о благодарности функционального и территориального органа администрации города Перми»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91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1.6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Представление к поощрению благодарностью функционального и территориального органа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</w:t>
            </w:r>
            <w:r>
              <w:rPr>
                <w:sz w:val="28"/>
                <w:szCs w:val="28"/>
                <w:highlight w:val="none"/>
              </w:rPr>
              <w:t xml:space="preserve">у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к</w:t>
            </w:r>
            <w:r>
              <w:rPr>
                <w:sz w:val="28"/>
                <w:szCs w:val="28"/>
                <w:highlight w:val="none"/>
              </w:rPr>
              <w:t xml:space="preserve">ц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ы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ы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органы администрации города Перми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(далее – ФО; ТО)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Положение о благодарности функционального</w:t>
              <w:br/>
            </w:r>
            <w:r>
              <w:rPr>
                <w:sz w:val="28"/>
                <w:szCs w:val="28"/>
                <w:highlight w:val="none"/>
              </w:rPr>
              <w:t xml:space="preserve">и территориального органа администрации города Перми, утвержденное п</w:t>
            </w:r>
            <w:r>
              <w:rPr>
                <w:sz w:val="28"/>
                <w:szCs w:val="28"/>
                <w:highlight w:val="none"/>
              </w:rPr>
              <w:t xml:space="preserve">остановлением администрации города Перми</w:t>
              <w:br/>
              <w:t xml:space="preserve">от 26.10.2018 </w:t>
            </w:r>
            <w:r>
              <w:rPr>
                <w:sz w:val="28"/>
                <w:szCs w:val="28"/>
                <w:highlight w:val="none"/>
              </w:rPr>
              <w:t xml:space="preserve">№ 835 </w:t>
            </w: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«</w:t>
            </w: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Об утверждении Положения о благодарности администрации города Перми и Положения о благодарности функционального и территориального органа администрации города Перми»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70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1.7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Предоставление писем поддержки для участия в конкурсных отборах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Администрация города Перми, ТО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  <w:t xml:space="preserve">Устав города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14213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I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I. Финансовая поддержка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2.1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Предоставление субсидий 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территории города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общественной безопасности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ДОБ)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предоставления субсидии 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территории города Перми, утвержденный п</w:t>
            </w:r>
            <w:r>
              <w:rPr>
                <w:sz w:val="28"/>
                <w:szCs w:val="28"/>
              </w:rPr>
              <w:t xml:space="preserve">остановлением администрации города Перми от 03.12.2014 № 920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2.2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Предоставлений </w:t>
            </w:r>
            <w:r>
              <w:rPr>
                <w:sz w:val="28"/>
                <w:szCs w:val="28"/>
              </w:rPr>
              <w:t xml:space="preserve">субсидий общественным организациям,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</w:t>
            </w:r>
            <w:r>
              <w:rPr>
                <w:sz w:val="28"/>
                <w:szCs w:val="28"/>
              </w:rPr>
              <w:t xml:space="preserve">лях возмещения затрат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предоставления субсидии общественным организациям,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</w:t>
            </w:r>
            <w:r>
              <w:rPr>
                <w:sz w:val="28"/>
                <w:szCs w:val="28"/>
              </w:rPr>
              <w:t xml:space="preserve">ующим на территории города Перми, </w:t>
              <w:br/>
              <w:t xml:space="preserve">в целях возмещения затрат, утвержденный п</w:t>
            </w:r>
            <w:r>
              <w:rPr>
                <w:sz w:val="28"/>
                <w:szCs w:val="28"/>
              </w:rPr>
              <w:t xml:space="preserve">остановлением администрации города Перми от 21.12.2017 № 1171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Предоставление субсидий </w:t>
            </w:r>
            <w:r>
              <w:rPr>
                <w:sz w:val="28"/>
                <w:szCs w:val="28"/>
              </w:rPr>
              <w:t xml:space="preserve">на иные цели </w:t>
            </w:r>
            <w:r>
              <w:rPr>
                <w:sz w:val="28"/>
                <w:szCs w:val="28"/>
              </w:rPr>
              <w:t xml:space="preserve">бюджетным и автономным учреждениям на организацию и проведение официальных физкультурно-оздоровительных и спортивных мероприятий </w:t>
            </w:r>
            <w:r>
              <w:rPr>
                <w:sz w:val="28"/>
                <w:szCs w:val="28"/>
              </w:rPr>
              <w:t xml:space="preserve">Пермского городского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Комитет по физической культуре и спорту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КФКС)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определения объема и условий предоставления субсидий на иные цели бюджетным и автономным учреждениям на организацию и проведение официальных физкультур</w:t>
            </w:r>
            <w:r>
              <w:rPr>
                <w:sz w:val="28"/>
                <w:szCs w:val="28"/>
              </w:rPr>
              <w:t xml:space="preserve">но-оздоровительных и спортивных мероприятий Пермского городского округа, утвержденный п</w:t>
            </w:r>
            <w:r>
              <w:rPr>
                <w:sz w:val="28"/>
                <w:szCs w:val="28"/>
              </w:rPr>
              <w:t xml:space="preserve">остановлением администрации города Перми от 16.10.2020 № 999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редоставление субсидий </w:t>
            </w:r>
            <w:r>
              <w:rPr>
                <w:sz w:val="28"/>
                <w:szCs w:val="28"/>
              </w:rPr>
              <w:t xml:space="preserve">на иные цели </w:t>
            </w:r>
            <w:r>
              <w:rPr>
                <w:sz w:val="28"/>
                <w:szCs w:val="28"/>
              </w:rPr>
              <w:t xml:space="preserve">бюджетным и автономным учреждениям на 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</w:t>
            </w:r>
            <w:r>
              <w:rPr>
                <w:sz w:val="28"/>
                <w:szCs w:val="28"/>
              </w:rPr>
              <w:t xml:space="preserve">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КФКС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определения объема и условий предоставления субсидий на иные цели бюджетным и автономным учреждениям на участие в организации и проведении межмуниципальных, региональных, м</w:t>
            </w:r>
            <w:r>
              <w:rPr>
                <w:sz w:val="28"/>
                <w:szCs w:val="28"/>
              </w:rPr>
              <w:t xml:space="preserve">ежрегиональных, всероссийских и международных спортивных соревнований, физкультурных мероприятий, проводимых на территории города Перми, утвержденный п</w:t>
            </w:r>
            <w:r>
              <w:rPr>
                <w:sz w:val="28"/>
                <w:szCs w:val="28"/>
              </w:rPr>
              <w:t xml:space="preserve">остановлением администрации города Перми от 20.10.2025 № 844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Предоставление субсидий по оказанию содействия физкультурно-спортивным клубам по месту жительства, осуществляющим физкультурную деятельность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КФКС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предоставления субсидий по оказанию содействия физкультурно-спортивным клубам по месту жительства, осуществляющим физкультурную деятельность, утвержденный п</w:t>
            </w:r>
            <w:r>
              <w:rPr>
                <w:sz w:val="28"/>
                <w:szCs w:val="28"/>
              </w:rPr>
              <w:t xml:space="preserve">остановлением администрации города Перми от 03.03.2025 № 129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в целях возмещения затрат, связанных с реализацией социально значимых программ в сфере физической культуры и спорта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КФКС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предоставления субсидий некоммерческим организациям, не являющимся государственными (муниципальными) учреждениями, в целях возмещения затрат, связанных</w:t>
            </w:r>
            <w:r>
              <w:rPr>
                <w:sz w:val="28"/>
                <w:szCs w:val="28"/>
              </w:rPr>
              <w:t xml:space="preserve"> с реализацией социально значимых программ в сфере физической культуры и спорта, утвержденный п</w:t>
            </w:r>
            <w:r>
              <w:rPr>
                <w:sz w:val="28"/>
                <w:szCs w:val="28"/>
              </w:rPr>
              <w:t xml:space="preserve">остановлением администрации города Перми от 01.06.2018 № 352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2.7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выполняющими муниципальные работы в сфере молодежной политики, на финансовое обеспечение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t xml:space="preserve">Порядок предоставления субсидий некоммерческим организациям, не являющимся государственными </w:t>
            </w:r>
            <w:r>
              <w:rPr>
                <w:bCs/>
                <w:sz w:val="28"/>
                <w:szCs w:val="28"/>
              </w:rPr>
              <w:t xml:space="preserve">(муниципальными) учреждениями, выполняющим муниципальные работы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в сфере молодежной политики, на финансовое обеспечение затрат, утвержденный п</w:t>
            </w:r>
            <w:r>
              <w:rPr>
                <w:bCs/>
                <w:sz w:val="28"/>
                <w:szCs w:val="28"/>
              </w:rPr>
              <w:t xml:space="preserve">остановлением администрации города Перми </w:t>
            </w:r>
            <w:r>
              <w:rPr>
                <w:bCs/>
                <w:sz w:val="28"/>
                <w:szCs w:val="28"/>
              </w:rPr>
              <w:t xml:space="preserve">от 31.10.2018 № 849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2.8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Поддержка молодежных инициатив осуществляется посредством проведения городского конкурса молодежных инициатив «</w:t>
            </w:r>
            <w:r>
              <w:rPr>
                <w:color w:val="000000"/>
                <w:sz w:val="28"/>
                <w:szCs w:val="28"/>
              </w:rPr>
              <w:t xml:space="preserve">Вижу.Могу.Делаю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ДКМП, 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униципальное автономное учреждение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Дворец молодеж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и» г. Перми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Положение о городском конкурсе молодежных инициатив «Вижу. Могу. Делаю»,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утвержденное генеральным директоро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муниципального автономного учреждения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Дворец молодеж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и» г. Перми 10.01.2020 в рамках </w:t>
            </w:r>
            <w:r>
              <w:rPr>
                <w:rFonts w:eastAsia="Calibri"/>
                <w:sz w:val="28"/>
                <w:szCs w:val="28"/>
              </w:rPr>
              <w:t xml:space="preserve">муниципальной программы «Культура и молодежная политика города Перми</w:t>
            </w:r>
            <w:r>
              <w:rPr>
                <w:color w:val="000000"/>
                <w:sz w:val="28"/>
                <w:szCs w:val="28"/>
              </w:rPr>
              <w:t xml:space="preserve">», утвержденной п</w:t>
            </w:r>
            <w:r>
              <w:rPr>
                <w:rFonts w:eastAsia="Calibri"/>
                <w:sz w:val="28"/>
                <w:szCs w:val="28"/>
              </w:rPr>
              <w:t xml:space="preserve">остановлением администрации города Перми от 17.10.2024 </w:t>
            </w:r>
            <w:r>
              <w:rPr>
                <w:rFonts w:eastAsia="Calibri"/>
                <w:sz w:val="28"/>
                <w:szCs w:val="28"/>
              </w:rPr>
              <w:t xml:space="preserve">№ 955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2.9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Предоставление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проектов, конкурса лок</w:t>
            </w:r>
            <w:r>
              <w:rPr>
                <w:color w:val="000000"/>
                <w:sz w:val="28"/>
                <w:szCs w:val="28"/>
              </w:rPr>
              <w:t xml:space="preserve">альных инициатив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правление по вопросам общественного самоуправления и межнациональным отношениям </w:t>
            </w:r>
            <w:r>
              <w:rPr>
                <w:sz w:val="28"/>
                <w:szCs w:val="28"/>
              </w:rPr>
              <w:t xml:space="preserve">администрации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УВОСиМО);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eastAsia="Calibri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Порядок предоставления грантов в форме субсидий за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счет средств бюджета города Перми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проектов;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Порядок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конкурса локальных инициатив,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утвержденные п</w:t>
            </w:r>
            <w:r>
              <w:rPr>
                <w:rFonts w:eastAsia="Calibri"/>
                <w:sz w:val="28"/>
                <w:szCs w:val="28"/>
              </w:rPr>
              <w:t xml:space="preserve">остановлением администрации города Перми от 16.12.2008 № 1214 «Об утверж</w:t>
            </w:r>
            <w:r>
              <w:rPr>
                <w:rFonts w:eastAsia="Calibri"/>
                <w:sz w:val="28"/>
                <w:szCs w:val="28"/>
              </w:rPr>
              <w:t xml:space="preserve">дении порядков предоставления г</w:t>
            </w:r>
            <w:r>
              <w:rPr>
                <w:rFonts w:eastAsia="Calibri"/>
                <w:sz w:val="28"/>
                <w:szCs w:val="28"/>
              </w:rPr>
              <w:t xml:space="preserve">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</w:t>
            </w:r>
            <w:r>
              <w:rPr>
                <w:rFonts w:eastAsia="Calibri"/>
                <w:sz w:val="28"/>
                <w:szCs w:val="28"/>
              </w:rPr>
              <w:t xml:space="preserve">елями ежегодного городского конкурса социально значимых проектов, конкурса локальных инициатив» (далее – Постановление </w:t>
              <w:br/>
              <w:t xml:space="preserve">№ 1214)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2.10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Предоставление субсидий за счет средств бюджета города Перми некоммерческим организациям, не являющимся государственными (муниципальными) учреждениями, на финансовое обеспечение затрат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УВОСиМО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eastAsia="Calibri"/>
                <w:b w:val="0"/>
                <w:bCs w:val="0"/>
                <w:sz w:val="28"/>
                <w:szCs w:val="28"/>
              </w:rPr>
              <w:t xml:space="preserve">Порядок предоставления субсидий за счет средств бюджета города Перми некоммерческим организациям, не являющимся государственными (муниципальными) учреждениями, на финансовое обеспе</w:t>
            </w:r>
            <w:r>
              <w:rPr>
                <w:rFonts w:eastAsia="Calibri"/>
                <w:b w:val="0"/>
                <w:bCs w:val="0"/>
                <w:sz w:val="28"/>
                <w:szCs w:val="28"/>
              </w:rPr>
              <w:t xml:space="preserve">чение затрат, утвержденный п</w:t>
            </w:r>
            <w:r>
              <w:rPr>
                <w:rFonts w:eastAsia="Calibri"/>
                <w:b w:val="0"/>
                <w:bCs w:val="0"/>
                <w:sz w:val="28"/>
                <w:szCs w:val="28"/>
              </w:rPr>
              <w:t xml:space="preserve">остановлением администрации города Перми от 11.06.2008 № 534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2.11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Предоставление мер поддержки некоммерческим организациям в городе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УВОСиМО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Порядок предоставления мер поддержки некоммерческим организациям в городе Перми, утвержденный 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ешением Пермской городской Думы от 22.02.2022 № 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W w:w="14213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III.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 Имущественная поддержка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3.1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Предоставление социально ориен</w:t>
            </w:r>
            <w:r>
              <w:rPr>
                <w:sz w:val="28"/>
                <w:szCs w:val="28"/>
              </w:rPr>
              <w:t xml:space="preserve">тированным некоммерческим организациям в безвозмездное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</w:t>
            </w:r>
            <w:r>
              <w:rPr>
                <w:sz w:val="28"/>
                <w:szCs w:val="28"/>
              </w:rPr>
              <w:t xml:space="preserve">предоставлено </w:t>
            </w:r>
            <w:r>
              <w:rPr>
                <w:sz w:val="28"/>
                <w:szCs w:val="28"/>
              </w:rPr>
              <w:t xml:space="preserve">социально ориентированным некоммерческим организациям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УВОСиМО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и условия п</w:t>
            </w:r>
            <w:r>
              <w:rPr>
                <w:sz w:val="28"/>
                <w:szCs w:val="28"/>
              </w:rPr>
              <w:t xml:space="preserve">редоставления социально ориен</w:t>
            </w:r>
            <w:r>
              <w:rPr>
                <w:sz w:val="28"/>
                <w:szCs w:val="28"/>
              </w:rPr>
              <w:t xml:space="preserve">тированным некоммерческим организациям в безвозмездное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</w:t>
            </w:r>
            <w:r>
              <w:rPr>
                <w:sz w:val="28"/>
                <w:szCs w:val="28"/>
              </w:rPr>
              <w:t xml:space="preserve">предоставлено </w:t>
            </w:r>
            <w:r>
              <w:rPr>
                <w:sz w:val="28"/>
                <w:szCs w:val="28"/>
              </w:rPr>
              <w:t xml:space="preserve">социально ориентированным некоммерческим организациям, утвержденный р</w:t>
            </w:r>
            <w:r>
              <w:rPr>
                <w:sz w:val="28"/>
                <w:szCs w:val="28"/>
              </w:rPr>
              <w:t xml:space="preserve">ешением Пермской городской Думы от </w:t>
            </w:r>
            <w:r>
              <w:rPr>
                <w:sz w:val="28"/>
                <w:szCs w:val="28"/>
              </w:rPr>
              <w:t xml:space="preserve">21.11.2017 № 245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 некоторых вопросах в сфере распоряжения муниципальным имуществом города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3.2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предоставления помещений в общественном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Положение об общественных центрах города Перми, утвержденное 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ешением Пермской городской Думы от 26.06.2012 № 135 (далее – Положение об общественных центрах города Перми)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213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IV. Консультационная поддержка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4.1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Оказание консультационных услуг по вопросам работы в единой информационной системе в сфере развития волонтерства (добровольчества)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УВОСиМО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Положение 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 управлении по вопросам общественного самоуправления и межнациональным отношениям администрации города Перми, утвержденное постановлением администрации города Перми от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от 12.12.2014 № 965 (далее – Положение об УВОСиМО)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4.2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Консультирование по вопросам оформления и подачи заявок на участие в конкурсном отборе, формирования отчетной документации по итогам реализации социально значимых проектов</w:t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УВОСиМО;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Постановление № 1214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gridSpan w:val="4"/>
            <w:tcW w:w="14213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V. Методическая поддержка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9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5.1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trike w:val="0"/>
                <w:sz w:val="28"/>
                <w:szCs w:val="28"/>
                <w:highlight w:val="none"/>
              </w:rPr>
              <w:t xml:space="preserve">Организация и проведение обучения для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добровольцев (волонтеров), организаторов добровольческой (волонтерской) деятельности, объединений (ассоциаций, союзов) добровольческих (волонтерских) организаций, ресурсных центров добровольчества (волонтерства) и добровольческих (волонтерских) организаций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УВОСиМО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Положение об УВОСиМО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9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5.2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обмена опыта в сфере добровольческой (волонтерской) деятельности в общественных центрах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УВОСиМО; 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eastAsia="Calibri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Положение об общественных центрах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Положение об УВОСиМО</w:t>
            </w:r>
            <w:r>
              <w:rPr>
                <w:rFonts w:eastAsia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eastAsia="Calibri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W w:w="14213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VI.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Информационная поддержка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</w:tr>
    </w:tbl>
    <w:tbl>
      <w:tblPr>
        <w:tblStyle w:val="73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409"/>
        <w:gridCol w:w="7512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6.1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widowControl/>
              <w:rPr>
                <w:rFonts w:ascii="Times New Roman" w:hAnsi="Times New Roman" w:eastAsia="Arial" w:cs="Arial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Montserrat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ru-RU" w:eastAsia="ru-RU" w:bidi="ar-SA"/>
              </w:rPr>
              <w:t xml:space="preserve">Размещение информации о совместной деятельности (проектах, мероприятиях, программах, акциях, лучших практиках) администрации города Перми и добровольческих (волонтерских) организаций (в пределах компетенции)</w:t>
            </w:r>
            <w:r>
              <w:rPr>
                <w:rFonts w:ascii="Times New Roman" w:hAnsi="Times New Roman" w:eastAsia="Arial" w:cs="Arial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Arial" w:cs="Arial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Администрация города Перми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Устав города Перми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418" w:right="1134" w:bottom="567" w:left="1134" w:header="284" w:footer="68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Montserrat">
    <w:panose1 w:val="02000603000000000000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2"/>
    <w:link w:val="880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2"/>
    <w:link w:val="881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9"/>
    <w:next w:val="879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2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9"/>
    <w:next w:val="879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2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2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2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2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2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2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79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2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2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2"/>
    <w:link w:val="885"/>
    <w:uiPriority w:val="99"/>
  </w:style>
  <w:style w:type="character" w:styleId="733">
    <w:name w:val="Footer Char"/>
    <w:basedOn w:val="882"/>
    <w:link w:val="886"/>
    <w:uiPriority w:val="99"/>
  </w:style>
  <w:style w:type="paragraph" w:styleId="734">
    <w:name w:val="Caption"/>
    <w:basedOn w:val="879"/>
    <w:next w:val="879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6"/>
    <w:uiPriority w:val="99"/>
  </w:style>
  <w:style w:type="table" w:styleId="736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2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2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next w:val="879"/>
    <w:qFormat/>
    <w:pPr>
      <w:jc w:val="center"/>
      <w:keepNext/>
      <w:outlineLvl w:val="0"/>
    </w:pPr>
    <w:rPr>
      <w:b/>
      <w:sz w:val="28"/>
    </w:rPr>
  </w:style>
  <w:style w:type="paragraph" w:styleId="881">
    <w:name w:val="Heading 2"/>
    <w:basedOn w:val="879"/>
    <w:next w:val="879"/>
    <w:qFormat/>
    <w:pPr>
      <w:jc w:val="center"/>
      <w:keepNext/>
      <w:outlineLvl w:val="1"/>
    </w:pPr>
    <w:rPr>
      <w:sz w:val="24"/>
    </w:rPr>
  </w:style>
  <w:style w:type="character" w:styleId="882" w:default="1">
    <w:name w:val="Default Paragraph Font"/>
    <w:semiHidden/>
  </w:style>
  <w:style w:type="table" w:styleId="88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semiHidden/>
  </w:style>
  <w:style w:type="paragraph" w:styleId="885">
    <w:name w:val="Header"/>
    <w:basedOn w:val="879"/>
    <w:pPr>
      <w:tabs>
        <w:tab w:val="center" w:pos="4153" w:leader="none"/>
        <w:tab w:val="right" w:pos="8306" w:leader="none"/>
      </w:tabs>
    </w:pPr>
  </w:style>
  <w:style w:type="paragraph" w:styleId="886">
    <w:name w:val="Footer"/>
    <w:basedOn w:val="879"/>
    <w:pPr>
      <w:tabs>
        <w:tab w:val="center" w:pos="4153" w:leader="none"/>
        <w:tab w:val="right" w:pos="8306" w:leader="none"/>
      </w:tabs>
    </w:pPr>
  </w:style>
  <w:style w:type="character" w:styleId="887">
    <w:name w:val="Hyperlink"/>
    <w:rPr>
      <w:color w:val="0000ff"/>
      <w:u w:val="single"/>
    </w:rPr>
  </w:style>
  <w:style w:type="paragraph" w:styleId="888">
    <w:name w:val="Body Text"/>
    <w:basedOn w:val="879"/>
    <w:rPr>
      <w:sz w:val="28"/>
    </w:rPr>
  </w:style>
  <w:style w:type="character" w:styleId="889">
    <w:name w:val="page number"/>
    <w:basedOn w:val="882"/>
  </w:style>
  <w:style w:type="paragraph" w:styleId="890">
    <w:name w:val="Balloon Text"/>
    <w:basedOn w:val="879"/>
    <w:link w:val="891"/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link w:val="890"/>
    <w:rPr>
      <w:rFonts w:ascii="Tahoma" w:hAnsi="Tahoma" w:cs="Tahoma"/>
      <w:sz w:val="16"/>
      <w:szCs w:val="16"/>
    </w:rPr>
  </w:style>
  <w:style w:type="paragraph" w:styleId="892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  <w:style w:type="character" w:styleId="895" w:customStyle="1">
    <w:name w:val="Основной шрифт абзаца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ulyasheva-ev</cp:lastModifiedBy>
  <cp:revision>23</cp:revision>
  <dcterms:created xsi:type="dcterms:W3CDTF">2024-10-25T09:07:00Z</dcterms:created>
  <dcterms:modified xsi:type="dcterms:W3CDTF">2026-02-27T06:54:57Z</dcterms:modified>
</cp:coreProperties>
</file>