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tabs>
          <w:tab w:val="left" w:pos="8080" w:leader="none"/>
        </w:tabs>
        <w:rPr>
          <w:sz w:val="24"/>
          <w:highlight w:val="white"/>
        </w:rPr>
      </w:pPr>
      <w:r>
        <w:rPr>
          <w:sz w:val="24"/>
          <w:highlight w:val="white"/>
        </w:rPr>
        <w:t xml:space="preserve">Проект вносится Главой города Перми</w: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ind w:firstLine="0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1265555</wp:posOffset>
                </wp:positionV>
                <wp:extent cx="7531100" cy="90551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76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7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 w:line="240" w:lineRule="auto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0;o:allowoverlap:true;o:allowincell:true;mso-position-horizontal-relative:page;margin-left:0.60pt;mso-position-horizontal:absolute;mso-position-vertical-relative:page;margin-top:99.65pt;mso-position-vertical:absolute;width:593.00pt;height:71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76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7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 w:line="240" w:lineRule="auto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91515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864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20pt;height:54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highlight w:val="white"/>
        </w:rPr>
      </w:r>
    </w:p>
    <w:p>
      <w:pPr>
        <w:ind w:firstLine="0"/>
        <w:jc w:val="center"/>
        <w:spacing w:after="720" w:line="240" w:lineRule="auto"/>
        <w:rPr>
          <w:rFonts w:eastAsia="Calibri"/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О внесении изменений в решение Пермской городской Думы от 21.11.2023 № 235 «Об установлении расходного обязательства города Перми по обустройству контейнерных площадок нового образца в городе Перми»</w:t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931"/>
        <w:ind w:firstLine="709"/>
        <w:spacing w:after="240" w:line="240" w:lineRule="auto"/>
        <w:rPr>
          <w:highlight w:val="white"/>
        </w:rPr>
      </w:pPr>
      <w:r>
        <w:rPr>
          <w:szCs w:val="28"/>
          <w:highlight w:val="white"/>
          <w:lang w:val="ru-RU"/>
        </w:rPr>
        <w:t xml:space="preserve">В соответствии со статьей 86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20</w:t>
      </w:r>
      <w:r>
        <w:rPr>
          <w:szCs w:val="28"/>
          <w:highlight w:val="white"/>
          <w:lang w:val="ru-RU"/>
        </w:rPr>
        <w:t xml:space="preserve">.03.2025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28.08.2007 № 185 «Об утверждении Положения о бюджете и бюджетном процессе в городе Перми»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center"/>
        <w:spacing w:after="240" w:line="240" w:lineRule="auto"/>
        <w:rPr>
          <w:rFonts w:eastAsia="Calibri"/>
          <w:spacing w:val="50"/>
          <w:highlight w:val="white"/>
        </w:rPr>
      </w:pPr>
      <w:r>
        <w:rPr>
          <w:rFonts w:eastAsia="Calibri"/>
          <w:highlight w:val="white"/>
          <w:lang w:eastAsia="en-US"/>
        </w:rPr>
        <w:t xml:space="preserve">Пермская городская Дума </w:t>
      </w:r>
      <w:r>
        <w:rPr>
          <w:rFonts w:eastAsia="Calibri"/>
          <w:b/>
          <w:bCs/>
          <w:highlight w:val="white"/>
          <w:lang w:eastAsia="en-US"/>
        </w:rPr>
        <w:t xml:space="preserve">р е ш и л а</w:t>
      </w:r>
      <w:r>
        <w:rPr>
          <w:rFonts w:eastAsia="Calibri"/>
          <w:b/>
          <w:highlight w:val="white"/>
          <w:lang w:eastAsia="en-US"/>
        </w:rPr>
        <w:t xml:space="preserve">:</w:t>
      </w:r>
      <w:r>
        <w:rPr>
          <w:rFonts w:eastAsia="Calibri"/>
          <w:spacing w:val="50"/>
          <w:highlight w:val="white"/>
        </w:rPr>
      </w:r>
      <w:r>
        <w:rPr>
          <w:rFonts w:eastAsia="Calibri"/>
          <w:spacing w:val="50"/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1. Внести в решение Пермской городской Думы от 21</w:t>
      </w:r>
      <w:r>
        <w:rPr>
          <w:szCs w:val="28"/>
          <w:highlight w:val="white"/>
        </w:rPr>
        <w:t xml:space="preserve">.11.2023 № 235 «Об установлении расходного обязательства города Перми по обустройству контейнерных площадок нового образца в городе Перми» (в редакции решений Пермской городской Думы от 19.12.2023 № 258, от 26.08.2025 № 134, от 18.11.2025 № 226)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1.1 в заголовке </w:t>
      </w:r>
      <w:r>
        <w:rPr>
          <w:szCs w:val="28"/>
          <w:highlight w:val="white"/>
        </w:rPr>
        <w:t xml:space="preserve">с</w:t>
      </w:r>
      <w:r>
        <w:rPr>
          <w:szCs w:val="28"/>
          <w:highlight w:val="white"/>
        </w:rPr>
        <w:t xml:space="preserve">лова «</w:t>
      </w:r>
      <w:r>
        <w:rPr>
          <w:szCs w:val="28"/>
          <w:highlight w:val="white"/>
        </w:rPr>
        <w:t xml:space="preserve">по обустройству </w:t>
      </w:r>
      <w:r>
        <w:rPr>
          <w:szCs w:val="28"/>
          <w:highlight w:val="white"/>
        </w:rPr>
        <w:t xml:space="preserve">контейнерных площадок нового образца» заменить словами </w:t>
      </w:r>
      <w:r>
        <w:rPr>
          <w:szCs w:val="28"/>
          <w:highlight w:val="white"/>
        </w:rPr>
        <w:t xml:space="preserve">«</w:t>
      </w:r>
      <w:r>
        <w:rPr>
          <w:szCs w:val="28"/>
          <w:highlight w:val="white"/>
        </w:rPr>
        <w:t xml:space="preserve">в сфере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накопления твердых коммунальных отходов</w:t>
      </w:r>
      <w:r>
        <w:rPr>
          <w:szCs w:val="28"/>
          <w:highlight w:val="white"/>
        </w:rPr>
        <w:t xml:space="preserve">»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1.2 в преамбуле слова «Федеральным законом от 06.10.2003 № 131-ФЗ «Об общих принципах организации местного самоуправления в Российской Федерации»» за</w:t>
      </w:r>
      <w:r>
        <w:rPr>
          <w:szCs w:val="28"/>
          <w:highlight w:val="white"/>
        </w:rPr>
        <w:t xml:space="preserve">менить словами «федеральными законами от 06.10.2003 </w:t>
        <w:br/>
        <w:t xml:space="preserve">№ 131-ФЗ «Об общих принципах организации местного самоуправления в Российской Федерации», от 20.03.2025 № 33-ФЗ «Об общих принципах организации местного самоуправления в единой системе публичной власти»»;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1.3 пункт 1 изложить в редакции: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«1. Установить на период 2023-2026 годов расходное обязательство по обустройству мест (площадок) накопления твердых коммунальных отходов </w:t>
      </w:r>
      <w:r>
        <w:rPr>
          <w:highlight w:val="white"/>
        </w:rPr>
        <w:t xml:space="preserve">(далее –</w:t>
      </w:r>
      <w:r>
        <w:rPr>
          <w:highlight w:val="white"/>
        </w:rPr>
        <w:t xml:space="preserve"> Места накопления отходов) </w:t>
      </w:r>
      <w:r>
        <w:rPr>
          <w:highlight w:val="white"/>
        </w:rPr>
        <w:t xml:space="preserve">на придомовых территориях многоквартирных домов города Перми</w:t>
      </w:r>
      <w:r>
        <w:rPr>
          <w:highlight w:val="white"/>
        </w:rPr>
        <w:t xml:space="preserve"> в соответствии с Правилами благоустройства территории города Перми, утвержденными решением Пермской городской Думы </w:t>
      </w:r>
      <w:r>
        <w:rPr>
          <w:highlight w:val="white"/>
        </w:rPr>
        <w:t xml:space="preserve">от 15.12.2020 № 277 (далее – Правила благоустройства), а также </w:t>
      </w:r>
      <w:r>
        <w:rPr>
          <w:highlight w:val="white"/>
        </w:rPr>
        <w:br/>
        <w:t xml:space="preserve">по</w:t>
      </w:r>
      <w:r>
        <w:rPr>
          <w:highlight w:val="white"/>
        </w:rPr>
        <w:t xml:space="preserve"> оборудовани</w:t>
      </w:r>
      <w:r>
        <w:rPr>
          <w:highlight w:val="white"/>
        </w:rPr>
        <w:t xml:space="preserve">ю</w:t>
      </w:r>
      <w:r>
        <w:rPr>
          <w:highlight w:val="white"/>
        </w:rPr>
        <w:t xml:space="preserve"> их </w:t>
      </w:r>
      <w:r>
        <w:rPr>
          <w:highlight w:val="white"/>
        </w:rPr>
        <w:t xml:space="preserve">систем</w:t>
      </w:r>
      <w:r>
        <w:rPr>
          <w:highlight w:val="white"/>
        </w:rPr>
        <w:t xml:space="preserve">ами</w:t>
      </w:r>
      <w:r>
        <w:rPr>
          <w:highlight w:val="white"/>
        </w:rPr>
        <w:t xml:space="preserve"> видеонаблюдения.»;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1.4 дополнить пунктом 1</w:t>
      </w:r>
      <w:r>
        <w:rPr>
          <w:highlight w:val="white"/>
          <w:vertAlign w:val="superscript"/>
        </w:rPr>
        <w:t xml:space="preserve">1</w:t>
      </w:r>
      <w:r>
        <w:rPr>
          <w:highlight w:val="white"/>
        </w:rPr>
        <w:t xml:space="preserve">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«1</w:t>
      </w:r>
      <w:r>
        <w:rPr>
          <w:highlight w:val="white"/>
          <w:vertAlign w:val="superscript"/>
        </w:rPr>
        <w:t xml:space="preserve">1</w:t>
      </w:r>
      <w:r>
        <w:rPr>
          <w:highlight w:val="white"/>
        </w:rPr>
        <w:t xml:space="preserve">. Установить на период 2026-2027 годов расходное обязательство </w:t>
        <w:br/>
        <w:t xml:space="preserve">по </w:t>
      </w:r>
      <w:r>
        <w:rPr>
          <w:highlight w:val="white"/>
        </w:rPr>
        <w:t xml:space="preserve">содержанию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Мест накопления отходов, находящихся в собственности собственников помещений в многоквартирных домах, </w:t>
      </w:r>
      <w:r>
        <w:rPr>
          <w:highlight w:val="white"/>
        </w:rPr>
        <w:t xml:space="preserve">в части их приведения </w:t>
      </w:r>
      <w:r>
        <w:rPr>
          <w:highlight w:val="white"/>
        </w:rPr>
        <w:br/>
        <w:t xml:space="preserve">в соответствие Правилам благоустройств</w:t>
      </w:r>
      <w:r>
        <w:rPr>
          <w:highlight w:val="white"/>
        </w:rPr>
        <w:t xml:space="preserve">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и оборудования системами видеонаблюдения.»;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1.5 пункт 2 изложить в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highlight w:val="white"/>
        </w:rPr>
        <w:t xml:space="preserve">«2. </w:t>
      </w:r>
      <w:r>
        <w:rPr>
          <w:color w:val="000000"/>
          <w:highlight w:val="white"/>
        </w:rPr>
        <w:t xml:space="preserve">Расходы, связанные с исполнением расходного обязательства, </w:t>
      </w:r>
      <w:r>
        <w:rPr>
          <w:color w:val="000000"/>
          <w:highlight w:val="white"/>
        </w:rPr>
        <w:t xml:space="preserve">установленного </w:t>
      </w:r>
      <w:hyperlink w:tooltip="1. Установить на период 2023-2026 годов расходное обязательство по обустройству контейнерных площадок нового образца в городе Перми." w:anchor="P15" w:history="1">
        <w:r>
          <w:rPr>
            <w:color w:val="000000"/>
            <w:highlight w:val="white"/>
          </w:rPr>
          <w:t xml:space="preserve">пунктами 1</w:t>
        </w:r>
      </w:hyperlink>
      <w:r>
        <w:rPr>
          <w:color w:val="000000"/>
          <w:highlight w:val="white"/>
        </w:rPr>
        <w:t xml:space="preserve">, 1</w:t>
      </w:r>
      <w:r>
        <w:rPr>
          <w:color w:val="000000"/>
          <w:highlight w:val="white"/>
          <w:vertAlign w:val="superscript"/>
        </w:rPr>
        <w:t xml:space="preserve">1</w:t>
      </w:r>
      <w:r>
        <w:rPr>
          <w:color w:val="000000"/>
          <w:highlight w:val="white"/>
        </w:rPr>
        <w:t xml:space="preserve"> настоящего решения, производить в форме предоставления субсидий в целях возмещения затрат (далее – субсидия) за счет и в пределах средств бюджета города Перми.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Субс</w:t>
      </w:r>
      <w:r>
        <w:rPr>
          <w:color w:val="000000"/>
          <w:highlight w:val="white"/>
        </w:rPr>
        <w:t xml:space="preserve">идия предоставляется собственникам помещений в многоквартирных домах города Перми, выбравшим в качестве способа управления многоквартирным домом непосредственное управление собственниками помещений в многоквартирном доме, товариществам собственников жилья,</w:t>
      </w:r>
      <w:r>
        <w:rPr>
          <w:color w:val="000000"/>
          <w:highlight w:val="white"/>
        </w:rPr>
        <w:t xml:space="preserve"> жилищным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соответствии с утвержденным администрацией города Перми порядком предоставления субсидии</w:t>
      </w:r>
      <w:r>
        <w:rPr>
          <w:color w:val="000000"/>
          <w:highlight w:val="white"/>
        </w:rPr>
        <w:t xml:space="preserve">.</w:t>
      </w:r>
      <w:bookmarkStart w:id="0" w:name="_GoBack"/>
      <w:r>
        <w:rPr>
          <w:highlight w:val="white"/>
        </w:rPr>
      </w:r>
      <w:bookmarkEnd w:id="0"/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Субсидия предоставляется однократно и не предоставляется, если ранее 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t xml:space="preserve">на обустройство</w:t>
      </w:r>
      <w:r>
        <w:rPr>
          <w:color w:val="000000"/>
          <w:highlight w:val="white"/>
        </w:rPr>
        <w:t xml:space="preserve"> или на приведение в соответствие Правилам благоустройства</w:t>
      </w:r>
      <w:r>
        <w:rPr>
          <w:color w:val="000000"/>
          <w:highlight w:val="white"/>
        </w:rPr>
        <w:t xml:space="preserve"> Мест накопления отходов из бюджета города Перми предоставлялись субсидии </w:t>
      </w:r>
      <w:r>
        <w:rPr>
          <w:color w:val="000000"/>
          <w:highlight w:val="white"/>
        </w:rPr>
        <w:br/>
        <w:t xml:space="preserve">в рамках иных расходных обязательств города Перми, установленных решениями Пермской городской Думы</w:t>
      </w:r>
      <w:r>
        <w:rPr>
          <w:color w:val="000000"/>
          <w:highlight w:val="white"/>
        </w:rPr>
        <w:t xml:space="preserve">.</w:t>
      </w:r>
      <w:r>
        <w:rPr>
          <w:highlight w:val="white"/>
        </w:rPr>
        <w:t xml:space="preserve">»;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1.6 дополнить пунктами </w:t>
      </w:r>
      <w:r>
        <w:rPr>
          <w:color w:val="000000"/>
          <w:highlight w:val="white"/>
        </w:rPr>
        <w:t xml:space="preserve">2</w:t>
      </w:r>
      <w:r>
        <w:rPr>
          <w:color w:val="000000"/>
          <w:highlight w:val="white"/>
          <w:vertAlign w:val="superscript"/>
        </w:rPr>
        <w:t xml:space="preserve">1</w:t>
      </w:r>
      <w:r>
        <w:rPr>
          <w:color w:val="000000"/>
          <w:highlight w:val="white"/>
        </w:rPr>
        <w:t xml:space="preserve">, 2</w:t>
      </w:r>
      <w:r>
        <w:rPr>
          <w:color w:val="000000"/>
          <w:highlight w:val="white"/>
          <w:vertAlign w:val="superscript"/>
        </w:rPr>
        <w:t xml:space="preserve">2</w:t>
      </w:r>
      <w:r>
        <w:rPr>
          <w:color w:val="000000"/>
          <w:highlight w:val="white"/>
        </w:rPr>
        <w:t xml:space="preserve"> следующего содержания: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</w:t>
      </w:r>
      <w:r>
        <w:rPr>
          <w:color w:val="000000"/>
          <w:highlight w:val="white"/>
        </w:rPr>
        <w:t xml:space="preserve">2</w:t>
      </w:r>
      <w:r>
        <w:rPr>
          <w:color w:val="000000"/>
          <w:highlight w:val="white"/>
          <w:vertAlign w:val="superscript"/>
        </w:rPr>
        <w:t xml:space="preserve">1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  <w:t xml:space="preserve"> Определить предельный объем финансирования расходного обязательства за счет средств бюджета города Перми в сумме </w:t>
      </w:r>
      <w:r>
        <w:rPr>
          <w:color w:val="000000"/>
          <w:highlight w:val="white"/>
        </w:rPr>
        <w:br/>
        <w:t xml:space="preserve">187 568,12 тыс. руб.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</w:t>
      </w:r>
      <w:r>
        <w:rPr>
          <w:color w:val="000000"/>
          <w:highlight w:val="white"/>
          <w:vertAlign w:val="superscript"/>
        </w:rPr>
        <w:t xml:space="preserve">2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  <w:t xml:space="preserve"> Установить главными распорядителями бюджетных средств, организующими исполнение расходного обязательства, установленного пунктом 1 настоящего решения, </w:t>
      </w:r>
      <w:r>
        <w:rPr>
          <w:color w:val="000000"/>
          <w:highlight w:val="white"/>
        </w:rPr>
        <w:t xml:space="preserve">территориальные органы администрации города Перми</w:t>
      </w:r>
      <w:r>
        <w:rPr>
          <w:color w:val="000000"/>
          <w:szCs w:val="28"/>
          <w:highlight w:val="white"/>
        </w:rPr>
        <w:t xml:space="preserve">.</w:t>
      </w:r>
      <w:r>
        <w:rPr>
          <w:color w:val="000000"/>
          <w:highlight w:val="white"/>
        </w:rPr>
        <w:t xml:space="preserve">»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3. Обнародовать настоящее решение посредством официал</w:t>
      </w:r>
      <w:r>
        <w:rPr>
          <w:szCs w:val="28"/>
          <w:highlight w:val="white"/>
        </w:rPr>
        <w:t xml:space="preserve">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spacing w:line="240" w:lineRule="auto"/>
        <w:rPr>
          <w:highlight w:val="none"/>
        </w:rPr>
      </w:pPr>
      <w:r>
        <w:rPr>
          <w:szCs w:val="28"/>
          <w:highlight w:val="white"/>
        </w:rPr>
        <w:t xml:space="preserve">4. Контроль за исполнением настоящего решения возложить на</w:t>
      </w:r>
      <w:r>
        <w:rPr>
          <w:highlight w:val="white"/>
        </w:rPr>
        <w:t xml:space="preserve"> комитет Пермской городской Думы по городскому хозяйству.</w:t>
      </w:r>
      <w:r>
        <w:rPr>
          <w:highlight w:val="white"/>
        </w:rPr>
      </w:r>
      <w:r>
        <w:rPr>
          <w:highlight w:val="non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Председатель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0"/>
        <w:jc w:val="left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Пермской городской Думы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                                    Д.В. Малютин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240" w:lineRule="auto"/>
        <w:tabs>
          <w:tab w:val="right" w:pos="9915" w:leader="none"/>
        </w:tabs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Глава города Перми </w:t>
      </w:r>
      <w:bookmarkStart w:id="1" w:name="undefined"/>
      <w:r/>
      <w:bookmarkEnd w:id="1"/>
      <w:r>
        <w:rPr>
          <w:rFonts w:eastAsia="Calibri"/>
          <w:szCs w:val="28"/>
          <w:highlight w:val="white"/>
          <w:lang w:eastAsia="en-US"/>
        </w:rPr>
        <w:tab/>
        <w:t xml:space="preserve">Э.О. Соснин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363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ind w:firstLine="0"/>
      <w:spacing w:line="240" w:lineRule="auto"/>
      <w:rPr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76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 w:default="1">
    <w:name w:val="Normal"/>
    <w:qFormat/>
    <w:pPr>
      <w:ind w:firstLine="720"/>
      <w:jc w:val="both"/>
      <w:spacing w:line="360" w:lineRule="exact"/>
    </w:pPr>
    <w:rPr>
      <w:sz w:val="28"/>
      <w:szCs w:val="24"/>
    </w:rPr>
  </w:style>
  <w:style w:type="paragraph" w:styleId="710">
    <w:name w:val="Heading 1"/>
    <w:basedOn w:val="709"/>
    <w:next w:val="709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15">
    <w:name w:val="Heading 6"/>
    <w:basedOn w:val="709"/>
    <w:next w:val="70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table" w:styleId="722" w:customStyle="1">
    <w:name w:val="Таблица простая 1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Таблица простая 21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Таблица простая 3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Таблица простая 4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Таблица простая 5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 w:customStyle="1">
    <w:name w:val="Таблица-сетка 1 светлая1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Таблица-сетка 2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Таблица-сетка 3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Таблица-сетка 41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Таблица-сетка 5 темная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Таблица-сетк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Таблица-сетка 7 цветная1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Список-таблица 1 светлая1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Список-таблица 21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Список-таблица 3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Список-таблица 4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Список-таблица 5 темная1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9" w:customStyle="1">
    <w:name w:val="Список-таблиц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0" w:customStyle="1">
    <w:name w:val="Список-таблица 7 цветная1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1" w:customStyle="1">
    <w:name w:val="Caption Char"/>
    <w:uiPriority w:val="99"/>
  </w:style>
  <w:style w:type="character" w:styleId="74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uiPriority w:val="10"/>
    <w:rPr>
      <w:sz w:val="48"/>
      <w:szCs w:val="48"/>
    </w:rPr>
  </w:style>
  <w:style w:type="character" w:styleId="752" w:customStyle="1">
    <w:name w:val="Subtitle Char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link w:val="710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09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rPr>
      <w:lang w:eastAsia="zh-CN"/>
    </w:rPr>
  </w:style>
  <w:style w:type="paragraph" w:styleId="768">
    <w:name w:val="Title"/>
    <w:basedOn w:val="709"/>
    <w:next w:val="709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link w:val="768"/>
    <w:uiPriority w:val="10"/>
    <w:rPr>
      <w:sz w:val="48"/>
      <w:szCs w:val="48"/>
    </w:rPr>
  </w:style>
  <w:style w:type="paragraph" w:styleId="770">
    <w:name w:val="Subtitle"/>
    <w:basedOn w:val="709"/>
    <w:next w:val="709"/>
    <w:link w:val="771"/>
    <w:uiPriority w:val="11"/>
    <w:qFormat/>
    <w:pPr>
      <w:spacing w:before="200" w:after="200"/>
    </w:pPr>
    <w:rPr>
      <w:sz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09"/>
    <w:next w:val="709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09"/>
    <w:next w:val="709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09"/>
    <w:link w:val="926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</w:rPr>
  </w:style>
  <w:style w:type="character" w:styleId="777" w:customStyle="1">
    <w:name w:val="Header Char"/>
    <w:uiPriority w:val="99"/>
  </w:style>
  <w:style w:type="paragraph" w:styleId="778">
    <w:name w:val="Footer"/>
    <w:basedOn w:val="709"/>
    <w:link w:val="927"/>
    <w:pPr>
      <w:tabs>
        <w:tab w:val="center" w:pos="4677" w:leader="none"/>
        <w:tab w:val="right" w:pos="9355" w:leader="none"/>
      </w:tabs>
    </w:pPr>
    <w:rPr>
      <w:sz w:val="16"/>
    </w:rPr>
  </w:style>
  <w:style w:type="character" w:styleId="779" w:customStyle="1">
    <w:name w:val="Footer Char"/>
    <w:uiPriority w:val="99"/>
  </w:style>
  <w:style w:type="paragraph" w:styleId="780">
    <w:name w:val="Caption"/>
    <w:basedOn w:val="709"/>
    <w:next w:val="709"/>
    <w:link w:val="78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1" w:customStyle="1">
    <w:name w:val="Название объекта Знак"/>
    <w:link w:val="780"/>
    <w:uiPriority w:val="99"/>
  </w:style>
  <w:style w:type="table" w:styleId="78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1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2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3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4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5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6"/>
    <w:uiPriority w:val="99"/>
    <w:rPr>
      <w:color w:val="404040"/>
      <w:lang w:eastAsia="ko-K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1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2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3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4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5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6"/>
    <w:uiPriority w:val="99"/>
    <w:rPr>
      <w:color w:val="404040"/>
      <w:lang w:eastAsia="ko-KR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8">
    <w:name w:val="Hyperlink"/>
    <w:uiPriority w:val="99"/>
    <w:unhideWhenUsed/>
    <w:rPr>
      <w:color w:val="0000ff"/>
      <w:u w:val="single"/>
    </w:rPr>
  </w:style>
  <w:style w:type="paragraph" w:styleId="909">
    <w:name w:val="footnote text"/>
    <w:basedOn w:val="709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09"/>
    <w:link w:val="913"/>
    <w:uiPriority w:val="99"/>
    <w:semiHidden/>
    <w:unhideWhenUsed/>
    <w:pPr>
      <w:spacing w:line="240" w:lineRule="auto"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09"/>
    <w:next w:val="709"/>
    <w:uiPriority w:val="39"/>
    <w:unhideWhenUsed/>
    <w:pPr>
      <w:ind w:firstLine="0"/>
      <w:spacing w:after="57"/>
    </w:pPr>
  </w:style>
  <w:style w:type="paragraph" w:styleId="916">
    <w:name w:val="toc 2"/>
    <w:basedOn w:val="709"/>
    <w:next w:val="709"/>
    <w:uiPriority w:val="39"/>
    <w:unhideWhenUsed/>
    <w:pPr>
      <w:ind w:left="283" w:firstLine="0"/>
      <w:spacing w:after="57"/>
    </w:pPr>
  </w:style>
  <w:style w:type="paragraph" w:styleId="917">
    <w:name w:val="toc 3"/>
    <w:basedOn w:val="709"/>
    <w:next w:val="709"/>
    <w:uiPriority w:val="39"/>
    <w:unhideWhenUsed/>
    <w:pPr>
      <w:ind w:left="567" w:firstLine="0"/>
      <w:spacing w:after="57"/>
    </w:pPr>
  </w:style>
  <w:style w:type="paragraph" w:styleId="918">
    <w:name w:val="toc 4"/>
    <w:basedOn w:val="709"/>
    <w:next w:val="709"/>
    <w:uiPriority w:val="39"/>
    <w:unhideWhenUsed/>
    <w:pPr>
      <w:ind w:left="850" w:firstLine="0"/>
      <w:spacing w:after="57"/>
    </w:pPr>
  </w:style>
  <w:style w:type="paragraph" w:styleId="919">
    <w:name w:val="toc 5"/>
    <w:basedOn w:val="709"/>
    <w:next w:val="709"/>
    <w:uiPriority w:val="39"/>
    <w:unhideWhenUsed/>
    <w:pPr>
      <w:ind w:left="1134" w:firstLine="0"/>
      <w:spacing w:after="57"/>
    </w:pPr>
  </w:style>
  <w:style w:type="paragraph" w:styleId="920">
    <w:name w:val="toc 6"/>
    <w:basedOn w:val="709"/>
    <w:next w:val="709"/>
    <w:uiPriority w:val="39"/>
    <w:unhideWhenUsed/>
    <w:pPr>
      <w:ind w:left="1417" w:firstLine="0"/>
      <w:spacing w:after="57"/>
    </w:pPr>
  </w:style>
  <w:style w:type="paragraph" w:styleId="921">
    <w:name w:val="toc 7"/>
    <w:basedOn w:val="709"/>
    <w:next w:val="709"/>
    <w:uiPriority w:val="39"/>
    <w:unhideWhenUsed/>
    <w:pPr>
      <w:ind w:left="1701" w:firstLine="0"/>
      <w:spacing w:after="57"/>
    </w:pPr>
  </w:style>
  <w:style w:type="paragraph" w:styleId="922">
    <w:name w:val="toc 8"/>
    <w:basedOn w:val="709"/>
    <w:next w:val="709"/>
    <w:uiPriority w:val="39"/>
    <w:unhideWhenUsed/>
    <w:pPr>
      <w:ind w:left="1984" w:firstLine="0"/>
      <w:spacing w:after="57"/>
    </w:pPr>
  </w:style>
  <w:style w:type="paragraph" w:styleId="923">
    <w:name w:val="toc 9"/>
    <w:basedOn w:val="709"/>
    <w:next w:val="709"/>
    <w:uiPriority w:val="39"/>
    <w:unhideWhenUsed/>
    <w:pPr>
      <w:ind w:left="2268" w:firstLine="0"/>
      <w:spacing w:after="57"/>
    </w:pPr>
  </w:style>
  <w:style w:type="paragraph" w:styleId="924">
    <w:name w:val="TOC Heading"/>
    <w:uiPriority w:val="39"/>
    <w:unhideWhenUsed/>
    <w:rPr>
      <w:lang w:eastAsia="zh-CN"/>
    </w:rPr>
  </w:style>
  <w:style w:type="paragraph" w:styleId="925">
    <w:name w:val="table of figures"/>
    <w:basedOn w:val="709"/>
    <w:next w:val="709"/>
    <w:uiPriority w:val="99"/>
    <w:unhideWhenUsed/>
  </w:style>
  <w:style w:type="character" w:styleId="926" w:customStyle="1">
    <w:name w:val="Верхний колонтитул Знак"/>
    <w:link w:val="776"/>
    <w:uiPriority w:val="99"/>
    <w:rPr>
      <w:sz w:val="16"/>
      <w:lang w:bidi="ar-SA"/>
    </w:rPr>
  </w:style>
  <w:style w:type="character" w:styleId="927" w:customStyle="1">
    <w:name w:val="Нижний колонтитул Знак"/>
    <w:link w:val="778"/>
    <w:rPr>
      <w:sz w:val="16"/>
      <w:szCs w:val="24"/>
      <w:lang w:bidi="ar-SA"/>
    </w:rPr>
  </w:style>
  <w:style w:type="paragraph" w:styleId="928" w:customStyle="1">
    <w:name w:val="Форма"/>
    <w:rPr>
      <w:sz w:val="28"/>
      <w:szCs w:val="28"/>
    </w:rPr>
  </w:style>
  <w:style w:type="paragraph" w:styleId="929" w:customStyle="1">
    <w:name w:val="Регистр"/>
    <w:rPr>
      <w:sz w:val="28"/>
    </w:rPr>
  </w:style>
  <w:style w:type="paragraph" w:styleId="930" w:customStyle="1">
    <w:name w:val="Исполнитель"/>
    <w:basedOn w:val="931"/>
    <w:pPr>
      <w:ind w:firstLine="0"/>
      <w:jc w:val="left"/>
      <w:spacing w:line="240" w:lineRule="exact"/>
    </w:pPr>
    <w:rPr>
      <w:sz w:val="24"/>
      <w:szCs w:val="20"/>
    </w:rPr>
  </w:style>
  <w:style w:type="paragraph" w:styleId="931">
    <w:name w:val="Body Text"/>
    <w:basedOn w:val="709"/>
    <w:link w:val="932"/>
    <w:rPr>
      <w:lang w:val="en-US" w:eastAsia="en-US"/>
    </w:rPr>
  </w:style>
  <w:style w:type="character" w:styleId="932" w:customStyle="1">
    <w:name w:val="Основной текст Знак"/>
    <w:link w:val="931"/>
    <w:rPr>
      <w:sz w:val="28"/>
      <w:szCs w:val="24"/>
    </w:rPr>
  </w:style>
  <w:style w:type="paragraph" w:styleId="933" w:customStyle="1">
    <w:name w:val="Заголовок к тексту"/>
    <w:basedOn w:val="709"/>
    <w:next w:val="931"/>
    <w:pPr>
      <w:ind w:firstLine="0"/>
      <w:jc w:val="left"/>
      <w:spacing w:after="480" w:line="240" w:lineRule="exact"/>
    </w:pPr>
    <w:rPr>
      <w:b/>
      <w:szCs w:val="20"/>
    </w:rPr>
  </w:style>
  <w:style w:type="paragraph" w:styleId="934" w:customStyle="1">
    <w:name w:val="ConsPlusNormal"/>
    <w:rPr>
      <w:sz w:val="28"/>
      <w:szCs w:val="28"/>
    </w:rPr>
  </w:style>
  <w:style w:type="paragraph" w:styleId="935">
    <w:name w:val="Balloon Text"/>
    <w:basedOn w:val="709"/>
    <w:link w:val="936"/>
    <w:pPr>
      <w:spacing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36" w:customStyle="1">
    <w:name w:val="Текст выноски Знак"/>
    <w:link w:val="935"/>
    <w:rPr>
      <w:rFonts w:ascii="Tahoma" w:hAnsi="Tahoma" w:cs="Tahoma"/>
      <w:sz w:val="16"/>
      <w:szCs w:val="16"/>
    </w:rPr>
  </w:style>
  <w:style w:type="paragraph" w:styleId="937" w:customStyle="1">
    <w:name w:val="Название объекта1"/>
    <w:basedOn w:val="709"/>
    <w:next w:val="709"/>
    <w:uiPriority w:val="35"/>
    <w:semiHidden/>
    <w:unhideWhenUsed/>
    <w:qFormat/>
    <w:pPr>
      <w:ind w:firstLine="0"/>
      <w:jc w:val="left"/>
      <w:spacing w:after="200" w:line="240" w:lineRule="auto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CROC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dubrovina-oyu</cp:lastModifiedBy>
  <cp:revision>9</cp:revision>
  <dcterms:created xsi:type="dcterms:W3CDTF">2026-02-25T05:44:00Z</dcterms:created>
  <dcterms:modified xsi:type="dcterms:W3CDTF">2026-03-02T10:20:56Z</dcterms:modified>
  <cp:version>917504</cp:version>
</cp:coreProperties>
</file>